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8CA0" w14:textId="2E7BE7DB" w:rsidR="00AC3DA4" w:rsidRDefault="00AC3DA4">
      <w:pPr>
        <w:pStyle w:val="NoSpacing"/>
        <w:jc w:val="center"/>
        <w:rPr>
          <w:b/>
        </w:rPr>
      </w:pPr>
      <w:r>
        <w:rPr>
          <w:b/>
          <w:noProof/>
          <w:sz w:val="40"/>
          <w:szCs w:val="40"/>
          <w:u w:val="single"/>
        </w:rPr>
        <w:drawing>
          <wp:inline distT="0" distB="0" distL="0" distR="0" wp14:anchorId="57BC2514" wp14:editId="10913A72">
            <wp:extent cx="5534025" cy="1657350"/>
            <wp:effectExtent l="0" t="0" r="9525"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1657350"/>
                    </a:xfrm>
                    <a:prstGeom prst="rect">
                      <a:avLst/>
                    </a:prstGeom>
                    <a:noFill/>
                    <a:ln>
                      <a:noFill/>
                    </a:ln>
                  </pic:spPr>
                </pic:pic>
              </a:graphicData>
            </a:graphic>
          </wp:inline>
        </w:drawing>
      </w:r>
    </w:p>
    <w:p w14:paraId="6D85A0FF" w14:textId="026FD016" w:rsidR="004843DF" w:rsidRDefault="00375391">
      <w:pPr>
        <w:pStyle w:val="NoSpacing"/>
        <w:jc w:val="center"/>
        <w:rPr>
          <w:b/>
        </w:rPr>
      </w:pPr>
      <w:r>
        <w:rPr>
          <w:b/>
        </w:rPr>
        <w:t>THE AFRICAN CONTINENTIAL FREE TRADE AREA (</w:t>
      </w:r>
      <w:proofErr w:type="spellStart"/>
      <w:r>
        <w:rPr>
          <w:b/>
        </w:rPr>
        <w:t>AfCFTA</w:t>
      </w:r>
      <w:proofErr w:type="spellEnd"/>
      <w:r>
        <w:rPr>
          <w:b/>
        </w:rPr>
        <w:t>) AND THE DIGITAL ECONOMY; MAXIMIZING THE TRADE DEAL IN THE AGE OF DIGITAL ECONOMY</w:t>
      </w:r>
    </w:p>
    <w:p w14:paraId="3A7E36B2" w14:textId="77777777" w:rsidR="00A2064F" w:rsidRDefault="00A2064F" w:rsidP="00CB7274">
      <w:pPr>
        <w:pStyle w:val="NoSpacing"/>
        <w:spacing w:line="276" w:lineRule="auto"/>
        <w:jc w:val="center"/>
      </w:pPr>
    </w:p>
    <w:p w14:paraId="17051F69" w14:textId="77777777" w:rsidR="00CB7274" w:rsidRPr="00CB7274" w:rsidRDefault="00A2064F" w:rsidP="00CB7274">
      <w:pPr>
        <w:pStyle w:val="NoSpacing"/>
        <w:spacing w:line="276" w:lineRule="auto"/>
        <w:jc w:val="center"/>
      </w:pPr>
      <w:r>
        <w:t xml:space="preserve">Mr. </w:t>
      </w:r>
      <w:r w:rsidR="00CB7274" w:rsidRPr="00CB7274">
        <w:t>Gerald Woode</w:t>
      </w:r>
    </w:p>
    <w:p w14:paraId="3A92C354" w14:textId="77777777" w:rsidR="00CB7274" w:rsidRPr="00CB7274" w:rsidRDefault="00CB7274" w:rsidP="00CB7274">
      <w:pPr>
        <w:pStyle w:val="NoSpacing"/>
        <w:spacing w:line="276" w:lineRule="auto"/>
        <w:jc w:val="center"/>
      </w:pPr>
      <w:r w:rsidRPr="00CB7274">
        <w:t>Lead Researcher Policy and Advocacy</w:t>
      </w:r>
    </w:p>
    <w:p w14:paraId="2B5C5298" w14:textId="77777777" w:rsidR="00CB7274" w:rsidRPr="00CB7274" w:rsidRDefault="00CB7274" w:rsidP="00CB7274">
      <w:pPr>
        <w:pStyle w:val="NoSpacing"/>
        <w:spacing w:line="276" w:lineRule="auto"/>
        <w:jc w:val="center"/>
      </w:pPr>
      <w:r w:rsidRPr="00CB7274">
        <w:t>gerald.woode@gitfic.com</w:t>
      </w:r>
    </w:p>
    <w:p w14:paraId="0FD96C56" w14:textId="77777777" w:rsidR="004843DF" w:rsidRDefault="00375391">
      <w:pPr>
        <w:pStyle w:val="NoSpacing"/>
        <w:rPr>
          <w:b/>
        </w:rPr>
      </w:pPr>
      <w:r>
        <w:rPr>
          <w:b/>
        </w:rPr>
        <w:t>Introduction</w:t>
      </w:r>
    </w:p>
    <w:p w14:paraId="231DCDED" w14:textId="627A7820" w:rsidR="004843DF" w:rsidRDefault="00375391">
      <w:pPr>
        <w:pStyle w:val="NoSpacing"/>
        <w:rPr>
          <w:szCs w:val="24"/>
        </w:rPr>
      </w:pPr>
      <w:r>
        <w:rPr>
          <w:szCs w:val="24"/>
        </w:rPr>
        <w:t>The region has had the world's fastest growth in digitalization over the past decade, as evidenced by the increasing number of digital technological platforms and enterprises with greater digital penetration. Digital access in the continent's sub-Saharan area is expected to expand by 130 percent by 2025. The pervasiveness of the online platform, the increased use of technologies, and the growth of digital economies have reduced the traditional concept of territorial boundaries as they relate to trade. Technology has enhanced access to digital products and services across conventional boundaries, opening up opportunities in the small and medium scale enterprise and creating jobs across the continent. The rise of digital payment across the continent has resulted in a massive surge in domestic and cross-border payments. Today, digitization is growing as a regional technological enabler, promoting financial inclusion and acting as a stimulus for innovation in other areas such as agriculture and infrastructure. As new technologies assist overcome information barriers and decrease the cost of cross-border transfers, digital payment has created ways to expand credit availability in Africa.</w:t>
      </w:r>
    </w:p>
    <w:p w14:paraId="0F5F4CFA" w14:textId="77777777" w:rsidR="00AC3DA4" w:rsidRDefault="00AC3DA4">
      <w:pPr>
        <w:pStyle w:val="NoSpacing"/>
        <w:rPr>
          <w:rFonts w:cs="Adobe Garamond Pro"/>
          <w:color w:val="FF0000"/>
          <w:sz w:val="28"/>
          <w:szCs w:val="24"/>
        </w:rPr>
      </w:pPr>
    </w:p>
    <w:p w14:paraId="4971B6CB" w14:textId="5618D521" w:rsidR="004843DF" w:rsidRDefault="00375391">
      <w:pPr>
        <w:pStyle w:val="NoSpacing"/>
        <w:rPr>
          <w:rFonts w:cs="Montserrat-Light"/>
          <w:szCs w:val="21"/>
        </w:rPr>
      </w:pPr>
      <w:r>
        <w:t xml:space="preserve">Sub-Saharan Africa has surpassed the rest of the world in mobile money transfer services, facilitating wider access to financial services. Although Sub-Saharan Africa has trailed behind the rest of the world in terms of access to finance, several of the region's countries are now worldwide leaders in mobile money adoption and usage. There are significant regional disparities, with East Africa </w:t>
      </w:r>
      <w:r>
        <w:lastRenderedPageBreak/>
        <w:t>dominating in mobile money adoption and usage. Kenya is among the most successful examples of mobile money use today, thanks to a proper price plan to attract clients, effective regulation, and a dependable and trustful network. Over the last decade, the continent has had the greatest increase in internet access worldwide, rising from 2.1 percent in 2005 to 24.4 percent in 2018.</w:t>
      </w:r>
      <w:r>
        <w:rPr>
          <w:rStyle w:val="FootnoteReference"/>
          <w:rFonts w:cs="Montserrat-Light"/>
          <w:szCs w:val="21"/>
        </w:rPr>
        <w:footnoteReference w:id="1"/>
      </w:r>
      <w:r>
        <w:rPr>
          <w:rFonts w:cs="Montserrat-Light"/>
          <w:color w:val="FF0000"/>
          <w:szCs w:val="21"/>
        </w:rPr>
        <w:t xml:space="preserve"> </w:t>
      </w:r>
      <w:r>
        <w:rPr>
          <w:rFonts w:cs="Montserrat-Light"/>
          <w:szCs w:val="21"/>
        </w:rPr>
        <w:t>However, digitalization-related productivity improvements in critical African sectors (such as finance, education, health, retail, agriculture, and government) are expected to range between $148 billion to $318 billion by 2025.</w:t>
      </w:r>
      <w:r>
        <w:rPr>
          <w:rStyle w:val="FootnoteReference"/>
          <w:rFonts w:cs="Montserrat-Light"/>
          <w:szCs w:val="21"/>
        </w:rPr>
        <w:footnoteReference w:id="2"/>
      </w:r>
    </w:p>
    <w:p w14:paraId="11B549AE" w14:textId="77777777" w:rsidR="00AC3DA4" w:rsidRDefault="00AC3DA4">
      <w:pPr>
        <w:pStyle w:val="NoSpacing"/>
        <w:rPr>
          <w:rFonts w:cs="Montserrat-Light"/>
          <w:color w:val="FF0000"/>
          <w:szCs w:val="21"/>
        </w:rPr>
      </w:pPr>
    </w:p>
    <w:p w14:paraId="2A7E5E57" w14:textId="02C4DA44" w:rsidR="004843DF" w:rsidRDefault="00375391">
      <w:pPr>
        <w:pStyle w:val="NoSpacing"/>
      </w:pPr>
      <w:proofErr w:type="spellStart"/>
      <w:r>
        <w:t>Digitilizating</w:t>
      </w:r>
      <w:proofErr w:type="spellEnd"/>
      <w:r>
        <w:t xml:space="preserve"> the African Economy will encompass establishing markets to formerly isolated rural populations as well as servicing Africa's rapidly rising consumer class. Female entrepreneurs are delving into e-business prospects using digital platforms, when before societal conventions or family responsibilities might well have kept them out of the regular labor. Intra-African commerce is a driving factor for long-term growth. It considerably decreases large and multinational corporations' marketing competitive advantage while assisting small and medium-sized firms (SMEs) to service specialized markets and establish a competitive edge locally, regionally, or globally. The declared goal of the AU is to "create a Digital Single Market in Africa by 2030.</w:t>
      </w:r>
      <w:r>
        <w:rPr>
          <w:rStyle w:val="FootnoteReference"/>
        </w:rPr>
        <w:footnoteReference w:id="3"/>
      </w:r>
      <w:r>
        <w:t xml:space="preserve"> Without a doubt, the adoption of the African Continental Free Trade Area (</w:t>
      </w:r>
      <w:proofErr w:type="spellStart"/>
      <w:r>
        <w:t>AfCFTA</w:t>
      </w:r>
      <w:proofErr w:type="spellEnd"/>
      <w:r>
        <w:t xml:space="preserve">) will boost the digital economy and e-commerce. The </w:t>
      </w:r>
      <w:proofErr w:type="spellStart"/>
      <w:r>
        <w:t>AfCFTA</w:t>
      </w:r>
      <w:proofErr w:type="spellEnd"/>
      <w:r>
        <w:t xml:space="preserve"> has arrived at a time when Africa is embracing e-commerce. This has the potential to be a powerful growth combo. The </w:t>
      </w:r>
      <w:proofErr w:type="spellStart"/>
      <w:r>
        <w:t>AfCFTA's</w:t>
      </w:r>
      <w:proofErr w:type="spellEnd"/>
      <w:r>
        <w:t xml:space="preserve"> goal is to promote intra-African trade among AU member states; e-commerce's goal is to market and sell. The </w:t>
      </w:r>
      <w:proofErr w:type="spellStart"/>
      <w:r>
        <w:t>AfCFTA</w:t>
      </w:r>
      <w:proofErr w:type="spellEnd"/>
      <w:r>
        <w:t xml:space="preserve"> attempts to lower trade </w:t>
      </w:r>
      <w:proofErr w:type="gramStart"/>
      <w:r>
        <w:t>obstacles;</w:t>
      </w:r>
      <w:proofErr w:type="gramEnd"/>
      <w:r>
        <w:t xml:space="preserve"> e-commerce spans continents.</w:t>
      </w:r>
    </w:p>
    <w:p w14:paraId="54F60206" w14:textId="3C7BCC54" w:rsidR="00AC3DA4" w:rsidRDefault="00AC3DA4">
      <w:pPr>
        <w:pStyle w:val="NoSpacing"/>
      </w:pPr>
    </w:p>
    <w:p w14:paraId="745A7A4B" w14:textId="4E128FE6" w:rsidR="00AC3DA4" w:rsidRDefault="00AC3DA4">
      <w:pPr>
        <w:pStyle w:val="NoSpacing"/>
      </w:pPr>
    </w:p>
    <w:p w14:paraId="39273FC0" w14:textId="31C57062" w:rsidR="00AC3DA4" w:rsidRDefault="00AC3DA4">
      <w:pPr>
        <w:pStyle w:val="NoSpacing"/>
      </w:pPr>
    </w:p>
    <w:p w14:paraId="7E752BF3" w14:textId="70240D00" w:rsidR="00AC3DA4" w:rsidRDefault="00AC3DA4">
      <w:pPr>
        <w:pStyle w:val="NoSpacing"/>
      </w:pPr>
    </w:p>
    <w:p w14:paraId="32139F6E" w14:textId="35D7FE20" w:rsidR="00AC3DA4" w:rsidRDefault="00AC3DA4">
      <w:pPr>
        <w:pStyle w:val="NoSpacing"/>
      </w:pPr>
    </w:p>
    <w:p w14:paraId="3A3CF02F" w14:textId="77777777" w:rsidR="00AC3DA4" w:rsidRDefault="00AC3DA4">
      <w:pPr>
        <w:pStyle w:val="NoSpacing"/>
      </w:pPr>
    </w:p>
    <w:p w14:paraId="4CF60C37" w14:textId="77777777" w:rsidR="004843DF" w:rsidRDefault="004843DF">
      <w:pPr>
        <w:pStyle w:val="NoSpacing"/>
      </w:pPr>
    </w:p>
    <w:p w14:paraId="163F874E" w14:textId="77777777" w:rsidR="004843DF" w:rsidRDefault="00375391">
      <w:pPr>
        <w:pStyle w:val="NoSpacing"/>
        <w:rPr>
          <w:b/>
        </w:rPr>
      </w:pPr>
      <w:r>
        <w:rPr>
          <w:b/>
        </w:rPr>
        <w:lastRenderedPageBreak/>
        <w:t xml:space="preserve">The rise of Africa’s Digital Economy </w:t>
      </w:r>
    </w:p>
    <w:p w14:paraId="1E366F57" w14:textId="77777777" w:rsidR="004843DF" w:rsidRDefault="00375391">
      <w:pPr>
        <w:pStyle w:val="NoSpacing"/>
        <w:rPr>
          <w:b/>
        </w:rPr>
      </w:pPr>
      <w:r>
        <w:rPr>
          <w:b/>
        </w:rPr>
        <w:t>Mobile Money Penetration; A New Frontier in Africa’s Digital Potential</w:t>
      </w:r>
    </w:p>
    <w:p w14:paraId="295A1255" w14:textId="7CB8772C" w:rsidR="004843DF" w:rsidRDefault="00375391">
      <w:pPr>
        <w:pStyle w:val="NoSpacing"/>
        <w:rPr>
          <w:rFonts w:cs="Montserrat-Light"/>
          <w:szCs w:val="24"/>
        </w:rPr>
      </w:pPr>
      <w:r>
        <w:rPr>
          <w:szCs w:val="24"/>
        </w:rPr>
        <w:t>Financial digitalization through mobile money penetration has enabled a major shift in the delivery of intra-African trade in Sub-Saharan Africa. As a result, the area has emerged as the global leader in mobile money invention, acceptance, and usage, with over 40 of the 45 Sub-Saharan African nations actively employing this new financial technology (mobile money penetration).</w:t>
      </w:r>
      <w:r>
        <w:rPr>
          <w:rStyle w:val="FootnoteReference"/>
          <w:rFonts w:cs="Adobe Garamond Pro"/>
          <w:szCs w:val="24"/>
        </w:rPr>
        <w:footnoteReference w:id="4"/>
      </w:r>
      <w:r>
        <w:rPr>
          <w:color w:val="FF0000"/>
          <w:szCs w:val="24"/>
        </w:rPr>
        <w:t xml:space="preserve"> </w:t>
      </w:r>
      <w:r>
        <w:rPr>
          <w:rFonts w:cs="Montserrat-Light"/>
          <w:szCs w:val="24"/>
        </w:rPr>
        <w:t>Digital payment system is an important component of intra-African trade, and the significant restrictions to cross-border payment in Africa make intra African trading difficult, if not impossible. Many African nations, most notably South Africa, Kenya, and Nigeria, have taken the lead in innovative fintech advancements that are challenging traditional banking and bringing previously 'unbanked' people into the mainstream economy. 'Mobile money' has also taken off as the most cost-effective and efficient means for the unbanked to move money from one mobile phone to another. Mobile banking, as demonstrated in Kenya, has proved enormously beneficial to the national economy, enabling micro-level ecommerce trading.</w:t>
      </w:r>
      <w:r>
        <w:rPr>
          <w:rStyle w:val="FootnoteReference"/>
          <w:rFonts w:cs="Montserrat-Light"/>
          <w:szCs w:val="24"/>
        </w:rPr>
        <w:footnoteReference w:id="5"/>
      </w:r>
    </w:p>
    <w:p w14:paraId="4BC0BF68" w14:textId="77777777" w:rsidR="00AC3DA4" w:rsidRDefault="00AC3DA4">
      <w:pPr>
        <w:pStyle w:val="NoSpacing"/>
        <w:rPr>
          <w:rFonts w:cs="Montserrat-Light"/>
          <w:color w:val="FF0000"/>
          <w:szCs w:val="24"/>
        </w:rPr>
      </w:pPr>
    </w:p>
    <w:p w14:paraId="7F7E036B" w14:textId="77777777" w:rsidR="004843DF" w:rsidRDefault="00375391">
      <w:pPr>
        <w:pStyle w:val="NoSpacing"/>
      </w:pPr>
      <w:r>
        <w:t xml:space="preserve">The digital economy has increased competitiveness across all sectors, created opportunities for firms and entrepreneurial activity, and opened up new channels for accessing international markets and engaging in global e-value chains. It also gives new methods for addressing long-standing development issues. The African continent is expected to be ready for digitization, which creates economic zones rather than conventional borders. </w:t>
      </w:r>
    </w:p>
    <w:p w14:paraId="20561716" w14:textId="77777777" w:rsidR="004843DF" w:rsidRDefault="00375391">
      <w:pPr>
        <w:pStyle w:val="NoSpacing"/>
        <w:jc w:val="center"/>
        <w:rPr>
          <w:b/>
        </w:rPr>
      </w:pPr>
      <w:r>
        <w:rPr>
          <w:noProof/>
        </w:rPr>
        <w:lastRenderedPageBreak/>
        <w:drawing>
          <wp:inline distT="0" distB="0" distL="0" distR="0" wp14:anchorId="3C6DA401" wp14:editId="55398DD5">
            <wp:extent cx="5838825" cy="29527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C05A2C" w14:textId="77777777" w:rsidR="004843DF" w:rsidRDefault="00375391">
      <w:pPr>
        <w:pStyle w:val="NoSpacing"/>
        <w:jc w:val="left"/>
      </w:pPr>
      <w:r>
        <w:rPr>
          <w:b/>
        </w:rPr>
        <w:t xml:space="preserve">Source: </w:t>
      </w:r>
      <w:r>
        <w:t>IMF-Financial Access Survey, 2022</w:t>
      </w:r>
    </w:p>
    <w:p w14:paraId="6B4FFFC8" w14:textId="4ED71DC1" w:rsidR="004843DF" w:rsidRDefault="00375391">
      <w:pPr>
        <w:pStyle w:val="NoSpacing"/>
        <w:rPr>
          <w:szCs w:val="24"/>
        </w:rPr>
      </w:pPr>
      <w:r>
        <w:t xml:space="preserve">African countries are increasingly committing to the development of a digital economy. In addition, government services have been digitalized, technological hubs and clusters have grown, and more private enterprises are shifting to digital without traditional border barriers. President Kagame of Rwanda unveiled the Africa Smart Alliance Initiative. The program aims to engage over 600 million African individual in the digital economy of the continent. The digital economy of the continent is not as large as other geographical blocs or unions. The issue of high-cost internet access, digital incompetence, and a lack of critical facilities such as broadband, electricity, and logistics continues to stymie a continent-wide digital economy. </w:t>
      </w:r>
      <w:r>
        <w:rPr>
          <w:szCs w:val="24"/>
        </w:rPr>
        <w:t>Furthermore, a few African countries seem to be more technologically sophisticated than others, making universal adoption and modeling technically impractical and impossible in the immediate future. In some Sub-Saharan African economies, mobile money penetration has now surpassed traditional bank accounts. In 2012, there were approximately twice as many conventional deposit accounts as mobile money accounts in 17 Sub-Saharan African nations where both mobile money and traditional bank account statistics were available. In these 17 countries, which include most of the biggest in Sub-Saharan Africa, such as South Africa, Kenya, and Tanzania among others, mobile money accounts have surpassed traditional bank accounts by since 2015.</w:t>
      </w:r>
    </w:p>
    <w:p w14:paraId="2D9D576C" w14:textId="082F89B4" w:rsidR="00AC3DA4" w:rsidRDefault="00AC3DA4">
      <w:pPr>
        <w:pStyle w:val="NoSpacing"/>
        <w:rPr>
          <w:szCs w:val="24"/>
        </w:rPr>
      </w:pPr>
    </w:p>
    <w:p w14:paraId="22C26C19" w14:textId="77777777" w:rsidR="00AC3DA4" w:rsidRDefault="00AC3DA4">
      <w:pPr>
        <w:pStyle w:val="NoSpacing"/>
        <w:rPr>
          <w:rFonts w:cs="Adobe Garamond Pro"/>
          <w:color w:val="FF0000"/>
          <w:szCs w:val="24"/>
        </w:rPr>
      </w:pPr>
    </w:p>
    <w:p w14:paraId="77148587" w14:textId="77777777" w:rsidR="004843DF" w:rsidRDefault="00375391">
      <w:pPr>
        <w:pStyle w:val="NoSpacing"/>
        <w:rPr>
          <w:rFonts w:cs="Adobe Garamond Pro"/>
          <w:szCs w:val="23"/>
        </w:rPr>
      </w:pPr>
      <w:r>
        <w:rPr>
          <w:rFonts w:cs="Adobe Garamond Pro"/>
          <w:szCs w:val="23"/>
        </w:rPr>
        <w:lastRenderedPageBreak/>
        <w:t>The cost of cross-border payments and transfers might be greatly reduced by a potentially universal financial technology. Due to the obvious oligopolistic nature of the financial industry in Sub-Saharan Africa, low regional and financial integration, the existence of multiple currencies, and inefficient payment systems for intra-African cross-border payments, the cost of sending money transfers to Sub-Saharan Africa is the highest globally. Digitization in payment that is adopting a cross border payment systems has the ability to lower transaction costs, which will have a favorable impact on remittance volume and regional integration.</w:t>
      </w:r>
    </w:p>
    <w:p w14:paraId="69537F35" w14:textId="77777777" w:rsidR="004843DF" w:rsidRDefault="00375391">
      <w:pPr>
        <w:pStyle w:val="NoSpacing"/>
        <w:rPr>
          <w:b/>
        </w:rPr>
      </w:pPr>
      <w:r>
        <w:rPr>
          <w:noProof/>
        </w:rPr>
        <w:drawing>
          <wp:inline distT="0" distB="0" distL="0" distR="0" wp14:anchorId="1C030B8F" wp14:editId="3BDF24FF">
            <wp:extent cx="5943600" cy="3026410"/>
            <wp:effectExtent l="0" t="0" r="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43F523" w14:textId="77777777" w:rsidR="004843DF" w:rsidRDefault="00375391">
      <w:pPr>
        <w:pStyle w:val="NoSpacing"/>
        <w:jc w:val="left"/>
      </w:pPr>
      <w:r>
        <w:rPr>
          <w:b/>
        </w:rPr>
        <w:t xml:space="preserve">Source: </w:t>
      </w:r>
      <w:r>
        <w:t>IMF-Financial Access Survey, 2022</w:t>
      </w:r>
    </w:p>
    <w:p w14:paraId="2120143C" w14:textId="17B9CD48" w:rsidR="004843DF" w:rsidRDefault="00375391">
      <w:pPr>
        <w:pStyle w:val="NoSpacing"/>
      </w:pPr>
      <w:r>
        <w:t xml:space="preserve">The use of digital technology is reshaping societies and economies at an unprecedented rate and scale, offering enormous geopolitical, commercial, and economical potential while also posing significant obstacles. According to a 2018 research by the International Telecommunication Union, a 10% rise in mobile broadband access in low-income nations results in a 2% boost in GDP. In Sub-Saharan Africa, for example, a 10 percent rise in mobile broadband adoption is expected to result in a 2.5 percent rise in GDP. The more people and things are linked in a secure and trustworthy manner, the more the continent gathers data for actionable insights, which are regarded as the most precious resource of the twenty-first century. The transition to a digital economy in Africa not only creates opportunities for economic growth and job creation, but it also serves as the foundation for understanding human rights, boosting access to adequate basic services, improving government accountability and transparency, and strengthening democracy. For example, the introduction of mobile money, pioneered by Kenya's Safaricom with the M-PESA brand, has resulted in </w:t>
      </w:r>
      <w:r>
        <w:lastRenderedPageBreak/>
        <w:t>considerable financial inclusion for many (which was not previously the case).</w:t>
      </w:r>
      <w:r>
        <w:rPr>
          <w:rStyle w:val="FootnoteReference"/>
        </w:rPr>
        <w:footnoteReference w:id="6"/>
      </w:r>
      <w:r>
        <w:t xml:space="preserve"> Mobile phone services currently account for 5.7 percent of the continent's GDP and are expected to grow to 8 percent by 2020.</w:t>
      </w:r>
      <w:r>
        <w:rPr>
          <w:rStyle w:val="FootnoteReference"/>
        </w:rPr>
        <w:footnoteReference w:id="7"/>
      </w:r>
      <w:r>
        <w:t xml:space="preserve"> This economic expansion is supported by strong mobile penetration rates of 90%. Reduced smartphone and broadband prices have increased penetration and access. These nations' youth bulges indicate that they have a critical mass of young people who are creatively exploiting the mobile web platform to address commercial and societal challenges, some of whom may become global role models. Just as big tech giant Alibaba emerged from Asia in the twentieth century, it would not be surprising if the twenty-first century's next titan emerged from Africa.</w:t>
      </w:r>
      <w:r>
        <w:rPr>
          <w:rStyle w:val="FootnoteReference"/>
        </w:rPr>
        <w:footnoteReference w:id="8"/>
      </w:r>
    </w:p>
    <w:p w14:paraId="4E050099" w14:textId="77777777" w:rsidR="00AC3DA4" w:rsidRDefault="00AC3DA4">
      <w:pPr>
        <w:pStyle w:val="NoSpacing"/>
      </w:pPr>
    </w:p>
    <w:p w14:paraId="2B6AAAD3" w14:textId="30F4C553" w:rsidR="004843DF" w:rsidRPr="00AC3DA4" w:rsidRDefault="00375391" w:rsidP="00AC3DA4">
      <w:pPr>
        <w:pStyle w:val="NoSpacing"/>
      </w:pPr>
      <w:r>
        <w:t xml:space="preserve">Digitization will provide an essential channel for African nations to accelerate not only financial growth but also progress across other areas of the economy in 2018 and beyond. On the digital platform, there are limitless prospects, and </w:t>
      </w:r>
      <w:proofErr w:type="spellStart"/>
      <w:r>
        <w:t>fintechs</w:t>
      </w:r>
      <w:proofErr w:type="spellEnd"/>
      <w:r>
        <w:t xml:space="preserve"> are working around the clock to create and market new products. These improvements, however, will favor only those countries that embrace digitalization, invest in the necessary infrastructure, and implement appropriate regulatory systems.</w:t>
      </w:r>
    </w:p>
    <w:p w14:paraId="36283D0A" w14:textId="77777777" w:rsidR="004843DF" w:rsidRDefault="004843DF">
      <w:pPr>
        <w:pStyle w:val="NoSpacing"/>
        <w:jc w:val="center"/>
        <w:rPr>
          <w:b/>
          <w:sz w:val="22"/>
        </w:rPr>
      </w:pPr>
    </w:p>
    <w:p w14:paraId="40BA810C" w14:textId="77777777" w:rsidR="004843DF" w:rsidRDefault="00375391">
      <w:pPr>
        <w:pStyle w:val="NoSpacing"/>
        <w:jc w:val="center"/>
        <w:rPr>
          <w:color w:val="FF0000"/>
          <w:sz w:val="22"/>
        </w:rPr>
      </w:pPr>
      <w:r>
        <w:rPr>
          <w:b/>
          <w:sz w:val="22"/>
        </w:rPr>
        <w:t>Payment System Statistics in Ghana 2012-2020 (Value in Million GHC)</w:t>
      </w:r>
    </w:p>
    <w:tbl>
      <w:tblPr>
        <w:tblStyle w:val="GridTable4-Accent51"/>
        <w:tblW w:w="11751" w:type="dxa"/>
        <w:tblInd w:w="-1124" w:type="dxa"/>
        <w:tblLayout w:type="fixed"/>
        <w:tblLook w:val="04A0" w:firstRow="1" w:lastRow="0" w:firstColumn="1" w:lastColumn="0" w:noHBand="0" w:noVBand="1"/>
      </w:tblPr>
      <w:tblGrid>
        <w:gridCol w:w="1814"/>
        <w:gridCol w:w="1128"/>
        <w:gridCol w:w="995"/>
        <w:gridCol w:w="995"/>
        <w:gridCol w:w="1137"/>
        <w:gridCol w:w="1137"/>
        <w:gridCol w:w="1137"/>
        <w:gridCol w:w="1137"/>
        <w:gridCol w:w="1134"/>
        <w:gridCol w:w="1137"/>
      </w:tblGrid>
      <w:tr w:rsidR="004843DF" w14:paraId="13A750D0" w14:textId="77777777" w:rsidTr="00484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4DF59016" w14:textId="77777777" w:rsidR="004843DF" w:rsidRDefault="004843DF">
            <w:pPr>
              <w:pStyle w:val="NoSpacing"/>
              <w:spacing w:line="276" w:lineRule="auto"/>
              <w:rPr>
                <w:sz w:val="18"/>
                <w:szCs w:val="18"/>
              </w:rPr>
            </w:pPr>
          </w:p>
        </w:tc>
        <w:tc>
          <w:tcPr>
            <w:tcW w:w="1128" w:type="dxa"/>
          </w:tcPr>
          <w:p w14:paraId="60A576F4"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2012</w:t>
            </w:r>
          </w:p>
        </w:tc>
        <w:tc>
          <w:tcPr>
            <w:tcW w:w="995" w:type="dxa"/>
          </w:tcPr>
          <w:p w14:paraId="46D15C1C"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2013</w:t>
            </w:r>
          </w:p>
        </w:tc>
        <w:tc>
          <w:tcPr>
            <w:tcW w:w="995" w:type="dxa"/>
          </w:tcPr>
          <w:p w14:paraId="68C78678"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2014</w:t>
            </w:r>
          </w:p>
        </w:tc>
        <w:tc>
          <w:tcPr>
            <w:tcW w:w="1137" w:type="dxa"/>
          </w:tcPr>
          <w:p w14:paraId="497EA3CD"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2015</w:t>
            </w:r>
          </w:p>
        </w:tc>
        <w:tc>
          <w:tcPr>
            <w:tcW w:w="1137" w:type="dxa"/>
          </w:tcPr>
          <w:p w14:paraId="1A5ED321"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2016</w:t>
            </w:r>
          </w:p>
        </w:tc>
        <w:tc>
          <w:tcPr>
            <w:tcW w:w="1137" w:type="dxa"/>
          </w:tcPr>
          <w:p w14:paraId="42D662CB"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2017</w:t>
            </w:r>
          </w:p>
        </w:tc>
        <w:tc>
          <w:tcPr>
            <w:tcW w:w="1137" w:type="dxa"/>
          </w:tcPr>
          <w:p w14:paraId="3598DC5D"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2018</w:t>
            </w:r>
          </w:p>
        </w:tc>
        <w:tc>
          <w:tcPr>
            <w:tcW w:w="1134" w:type="dxa"/>
          </w:tcPr>
          <w:p w14:paraId="444AB4BA"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2019</w:t>
            </w:r>
          </w:p>
        </w:tc>
        <w:tc>
          <w:tcPr>
            <w:tcW w:w="1137" w:type="dxa"/>
          </w:tcPr>
          <w:p w14:paraId="01040E5A" w14:textId="77777777" w:rsidR="004843DF" w:rsidRDefault="0037539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2020</w:t>
            </w:r>
          </w:p>
        </w:tc>
      </w:tr>
      <w:tr w:rsidR="004843DF" w14:paraId="3C290CDE" w14:textId="77777777" w:rsidTr="0048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4D4054C" w14:textId="77777777" w:rsidR="004843DF" w:rsidRDefault="00375391">
            <w:pPr>
              <w:pStyle w:val="NoSpacing"/>
              <w:spacing w:line="276" w:lineRule="auto"/>
              <w:jc w:val="left"/>
              <w:rPr>
                <w:b w:val="0"/>
                <w:sz w:val="18"/>
                <w:szCs w:val="18"/>
              </w:rPr>
            </w:pPr>
            <w:r>
              <w:rPr>
                <w:b w:val="0"/>
                <w:sz w:val="18"/>
                <w:szCs w:val="18"/>
              </w:rPr>
              <w:t>Ghana Interbank Settlement (RTGS)</w:t>
            </w:r>
          </w:p>
        </w:tc>
        <w:tc>
          <w:tcPr>
            <w:tcW w:w="1128" w:type="dxa"/>
          </w:tcPr>
          <w:p w14:paraId="24DBE966"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331,320.90</w:t>
            </w:r>
          </w:p>
        </w:tc>
        <w:tc>
          <w:tcPr>
            <w:tcW w:w="995" w:type="dxa"/>
          </w:tcPr>
          <w:p w14:paraId="2395B367"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470,375.10</w:t>
            </w:r>
          </w:p>
          <w:p w14:paraId="4110413C"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95" w:type="dxa"/>
          </w:tcPr>
          <w:p w14:paraId="27A36F94"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58,312.16</w:t>
            </w:r>
          </w:p>
          <w:p w14:paraId="43FC5B94"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43521C4D"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1,032,544.00</w:t>
            </w:r>
          </w:p>
          <w:p w14:paraId="40148027"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6D852B43"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1,670,369.46</w:t>
            </w:r>
          </w:p>
          <w:p w14:paraId="28D9940A"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3E111049"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2,083,846.27</w:t>
            </w:r>
          </w:p>
          <w:p w14:paraId="2FAA9364"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3DE5391F"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1,963,465.27</w:t>
            </w:r>
          </w:p>
          <w:p w14:paraId="1DCD3347"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6434FC8A"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sz w:val="18"/>
                <w:szCs w:val="18"/>
              </w:rPr>
            </w:pPr>
            <w:r>
              <w:rPr>
                <w:rFonts w:cs="Tahoma"/>
                <w:color w:val="000000"/>
                <w:sz w:val="18"/>
                <w:szCs w:val="18"/>
              </w:rPr>
              <w:t>2,106,117.85</w:t>
            </w:r>
          </w:p>
          <w:p w14:paraId="5FC91A7D"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410A1DE1"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cs="Tahoma"/>
                <w:color w:val="000000"/>
                <w:sz w:val="18"/>
                <w:szCs w:val="18"/>
              </w:rPr>
            </w:pPr>
            <w:r>
              <w:rPr>
                <w:rFonts w:cs="Tahoma"/>
                <w:color w:val="000000"/>
                <w:sz w:val="18"/>
                <w:szCs w:val="18"/>
              </w:rPr>
              <w:t>2,433,537.47</w:t>
            </w:r>
          </w:p>
        </w:tc>
      </w:tr>
      <w:tr w:rsidR="004843DF" w14:paraId="3D4085AF" w14:textId="77777777" w:rsidTr="004843DF">
        <w:tc>
          <w:tcPr>
            <w:cnfStyle w:val="001000000000" w:firstRow="0" w:lastRow="0" w:firstColumn="1" w:lastColumn="0" w:oddVBand="0" w:evenVBand="0" w:oddHBand="0" w:evenHBand="0" w:firstRowFirstColumn="0" w:firstRowLastColumn="0" w:lastRowFirstColumn="0" w:lastRowLastColumn="0"/>
            <w:tcW w:w="1814" w:type="dxa"/>
          </w:tcPr>
          <w:p w14:paraId="0DDF691C" w14:textId="77777777" w:rsidR="004843DF" w:rsidRDefault="00375391">
            <w:pPr>
              <w:pStyle w:val="NoSpacing"/>
              <w:spacing w:line="276" w:lineRule="auto"/>
              <w:jc w:val="left"/>
              <w:rPr>
                <w:b w:val="0"/>
                <w:sz w:val="18"/>
                <w:szCs w:val="18"/>
              </w:rPr>
            </w:pPr>
            <w:r>
              <w:rPr>
                <w:b w:val="0"/>
                <w:sz w:val="18"/>
                <w:szCs w:val="18"/>
              </w:rPr>
              <w:t>Cheque Cleared</w:t>
            </w:r>
          </w:p>
        </w:tc>
        <w:tc>
          <w:tcPr>
            <w:tcW w:w="1128" w:type="dxa"/>
          </w:tcPr>
          <w:p w14:paraId="4ECFFD16"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69,222.07</w:t>
            </w:r>
          </w:p>
        </w:tc>
        <w:tc>
          <w:tcPr>
            <w:tcW w:w="995" w:type="dxa"/>
          </w:tcPr>
          <w:p w14:paraId="1C2D0B63"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81,144.33</w:t>
            </w:r>
          </w:p>
        </w:tc>
        <w:tc>
          <w:tcPr>
            <w:tcW w:w="995" w:type="dxa"/>
          </w:tcPr>
          <w:p w14:paraId="071A990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113,698.39</w:t>
            </w:r>
          </w:p>
        </w:tc>
        <w:tc>
          <w:tcPr>
            <w:tcW w:w="1137" w:type="dxa"/>
          </w:tcPr>
          <w:p w14:paraId="226C6C25"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131,189.70</w:t>
            </w:r>
          </w:p>
        </w:tc>
        <w:tc>
          <w:tcPr>
            <w:tcW w:w="1137" w:type="dxa"/>
          </w:tcPr>
          <w:p w14:paraId="347D846F"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152,390.42</w:t>
            </w:r>
          </w:p>
        </w:tc>
        <w:tc>
          <w:tcPr>
            <w:tcW w:w="1137" w:type="dxa"/>
          </w:tcPr>
          <w:p w14:paraId="4E4E6A9E"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179,555.47</w:t>
            </w:r>
          </w:p>
        </w:tc>
        <w:tc>
          <w:tcPr>
            <w:tcW w:w="1137" w:type="dxa"/>
          </w:tcPr>
          <w:p w14:paraId="315D1680"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203,465.32</w:t>
            </w:r>
          </w:p>
        </w:tc>
        <w:tc>
          <w:tcPr>
            <w:tcW w:w="1134" w:type="dxa"/>
          </w:tcPr>
          <w:p w14:paraId="5B3503F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173,623.25</w:t>
            </w:r>
          </w:p>
        </w:tc>
        <w:tc>
          <w:tcPr>
            <w:tcW w:w="1137" w:type="dxa"/>
          </w:tcPr>
          <w:p w14:paraId="1BE50D6B"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177,625</w:t>
            </w:r>
          </w:p>
        </w:tc>
      </w:tr>
      <w:tr w:rsidR="004843DF" w14:paraId="767365C0" w14:textId="77777777" w:rsidTr="004843D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814" w:type="dxa"/>
          </w:tcPr>
          <w:p w14:paraId="6F554CCF" w14:textId="77777777" w:rsidR="004843DF" w:rsidRDefault="00375391">
            <w:pPr>
              <w:pStyle w:val="NoSpacing"/>
              <w:spacing w:line="276" w:lineRule="auto"/>
              <w:jc w:val="left"/>
              <w:rPr>
                <w:b w:val="0"/>
                <w:sz w:val="18"/>
                <w:szCs w:val="18"/>
              </w:rPr>
            </w:pPr>
            <w:r>
              <w:rPr>
                <w:b w:val="0"/>
                <w:sz w:val="18"/>
                <w:szCs w:val="18"/>
              </w:rPr>
              <w:t>Automated Clearing House -Direct Credit</w:t>
            </w:r>
          </w:p>
        </w:tc>
        <w:tc>
          <w:tcPr>
            <w:tcW w:w="1128" w:type="dxa"/>
          </w:tcPr>
          <w:p w14:paraId="367090EB"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3,690.04</w:t>
            </w:r>
          </w:p>
        </w:tc>
        <w:tc>
          <w:tcPr>
            <w:tcW w:w="995" w:type="dxa"/>
          </w:tcPr>
          <w:p w14:paraId="17745A9F"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6,332.71</w:t>
            </w:r>
          </w:p>
        </w:tc>
        <w:tc>
          <w:tcPr>
            <w:tcW w:w="995" w:type="dxa"/>
          </w:tcPr>
          <w:p w14:paraId="65C531AB"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10,815.21</w:t>
            </w:r>
          </w:p>
        </w:tc>
        <w:tc>
          <w:tcPr>
            <w:tcW w:w="1137" w:type="dxa"/>
          </w:tcPr>
          <w:p w14:paraId="590F57E5"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15,075.07</w:t>
            </w:r>
          </w:p>
        </w:tc>
        <w:tc>
          <w:tcPr>
            <w:tcW w:w="1137" w:type="dxa"/>
          </w:tcPr>
          <w:p w14:paraId="3CABBFD0"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19,245.65</w:t>
            </w:r>
          </w:p>
          <w:p w14:paraId="23EA5D50"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710A9C3A"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24,327.26</w:t>
            </w:r>
          </w:p>
          <w:p w14:paraId="3F1858ED"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24185FAE"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30,226.94</w:t>
            </w:r>
          </w:p>
          <w:p w14:paraId="561B590C"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7233FC18"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7,662.89</w:t>
            </w:r>
          </w:p>
        </w:tc>
        <w:tc>
          <w:tcPr>
            <w:tcW w:w="1137" w:type="dxa"/>
          </w:tcPr>
          <w:p w14:paraId="4F5B23A6"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6,123.26</w:t>
            </w:r>
          </w:p>
        </w:tc>
      </w:tr>
      <w:tr w:rsidR="004843DF" w14:paraId="6F6D5E53" w14:textId="77777777" w:rsidTr="004843DF">
        <w:tc>
          <w:tcPr>
            <w:cnfStyle w:val="001000000000" w:firstRow="0" w:lastRow="0" w:firstColumn="1" w:lastColumn="0" w:oddVBand="0" w:evenVBand="0" w:oddHBand="0" w:evenHBand="0" w:firstRowFirstColumn="0" w:firstRowLastColumn="0" w:lastRowFirstColumn="0" w:lastRowLastColumn="0"/>
            <w:tcW w:w="1814" w:type="dxa"/>
          </w:tcPr>
          <w:p w14:paraId="44137DC5" w14:textId="77777777" w:rsidR="004843DF" w:rsidRDefault="00375391">
            <w:pPr>
              <w:pStyle w:val="NoSpacing"/>
              <w:spacing w:line="276" w:lineRule="auto"/>
              <w:jc w:val="left"/>
              <w:rPr>
                <w:b w:val="0"/>
                <w:sz w:val="18"/>
                <w:szCs w:val="18"/>
              </w:rPr>
            </w:pPr>
            <w:r>
              <w:rPr>
                <w:b w:val="0"/>
                <w:sz w:val="18"/>
                <w:szCs w:val="18"/>
              </w:rPr>
              <w:t>Automated Clearing House -Direct Debit</w:t>
            </w:r>
          </w:p>
        </w:tc>
        <w:tc>
          <w:tcPr>
            <w:tcW w:w="1128" w:type="dxa"/>
          </w:tcPr>
          <w:p w14:paraId="3ACCD4B2"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95" w:type="dxa"/>
          </w:tcPr>
          <w:p w14:paraId="5F087A3E"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22.81</w:t>
            </w:r>
          </w:p>
          <w:p w14:paraId="63468499"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95" w:type="dxa"/>
          </w:tcPr>
          <w:p w14:paraId="2359C6E3"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31.48</w:t>
            </w:r>
          </w:p>
          <w:p w14:paraId="462FBC1F"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7" w:type="dxa"/>
          </w:tcPr>
          <w:p w14:paraId="3050B9F2"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70.91</w:t>
            </w:r>
          </w:p>
          <w:p w14:paraId="23FA33BC"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7" w:type="dxa"/>
          </w:tcPr>
          <w:p w14:paraId="509F7D53"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127.01</w:t>
            </w:r>
          </w:p>
          <w:p w14:paraId="1197C4AD"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7" w:type="dxa"/>
          </w:tcPr>
          <w:p w14:paraId="0660ED6E"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126.28</w:t>
            </w:r>
          </w:p>
          <w:p w14:paraId="4F813A80"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7" w:type="dxa"/>
          </w:tcPr>
          <w:p w14:paraId="2BAE1A6A"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139.15</w:t>
            </w:r>
          </w:p>
          <w:p w14:paraId="51382D26"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7328E012"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cs="Tahoma"/>
                <w:color w:val="000000"/>
                <w:sz w:val="18"/>
                <w:szCs w:val="18"/>
              </w:rPr>
            </w:pPr>
            <w:r>
              <w:rPr>
                <w:rFonts w:cs="Tahoma"/>
                <w:color w:val="000000"/>
                <w:sz w:val="18"/>
                <w:szCs w:val="18"/>
              </w:rPr>
              <w:t>239.64</w:t>
            </w:r>
          </w:p>
          <w:p w14:paraId="02290782" w14:textId="77777777" w:rsidR="004843DF" w:rsidRDefault="004843DF">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37" w:type="dxa"/>
          </w:tcPr>
          <w:p w14:paraId="7B11A82A"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cs="Tahoma"/>
                <w:color w:val="000000"/>
                <w:sz w:val="18"/>
                <w:szCs w:val="18"/>
              </w:rPr>
            </w:pPr>
            <w:r>
              <w:rPr>
                <w:sz w:val="18"/>
                <w:szCs w:val="18"/>
              </w:rPr>
              <w:t>1,130.69</w:t>
            </w:r>
          </w:p>
        </w:tc>
      </w:tr>
      <w:tr w:rsidR="004843DF" w14:paraId="3DB45564" w14:textId="77777777" w:rsidTr="0048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1C88BDD" w14:textId="77777777" w:rsidR="004843DF" w:rsidRDefault="00375391">
            <w:pPr>
              <w:pStyle w:val="NoSpacing"/>
              <w:spacing w:line="276" w:lineRule="auto"/>
              <w:jc w:val="left"/>
              <w:rPr>
                <w:b w:val="0"/>
                <w:sz w:val="18"/>
                <w:szCs w:val="18"/>
              </w:rPr>
            </w:pPr>
            <w:r>
              <w:rPr>
                <w:b w:val="0"/>
                <w:sz w:val="18"/>
                <w:szCs w:val="18"/>
              </w:rPr>
              <w:t>E-</w:t>
            </w:r>
            <w:proofErr w:type="spellStart"/>
            <w:r>
              <w:rPr>
                <w:b w:val="0"/>
                <w:sz w:val="18"/>
                <w:szCs w:val="18"/>
              </w:rPr>
              <w:t>Zwich</w:t>
            </w:r>
            <w:proofErr w:type="spellEnd"/>
            <w:r>
              <w:rPr>
                <w:b w:val="0"/>
                <w:sz w:val="18"/>
                <w:szCs w:val="18"/>
              </w:rPr>
              <w:t xml:space="preserve"> Transactions (Biometric Payment Card)</w:t>
            </w:r>
          </w:p>
        </w:tc>
        <w:tc>
          <w:tcPr>
            <w:tcW w:w="1128" w:type="dxa"/>
          </w:tcPr>
          <w:p w14:paraId="15AA84EA"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217.80</w:t>
            </w:r>
          </w:p>
          <w:p w14:paraId="49B9C080"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95" w:type="dxa"/>
          </w:tcPr>
          <w:p w14:paraId="761AD0E1"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217.20</w:t>
            </w:r>
          </w:p>
          <w:p w14:paraId="7DCC3488"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95" w:type="dxa"/>
          </w:tcPr>
          <w:p w14:paraId="1E083BB8"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272.70</w:t>
            </w:r>
          </w:p>
          <w:p w14:paraId="3CE7D47D"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24CFA6AA"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922.90</w:t>
            </w:r>
          </w:p>
          <w:p w14:paraId="4D3986C6"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32F42A8E"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2,362.96</w:t>
            </w:r>
          </w:p>
          <w:p w14:paraId="5C114E25"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1EEFC300"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3,431.49</w:t>
            </w:r>
          </w:p>
          <w:p w14:paraId="6F189D81"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1E5F5B25"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5,651.14</w:t>
            </w:r>
          </w:p>
          <w:p w14:paraId="4B3868E4"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4E1CD37C"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6,308.37</w:t>
            </w:r>
          </w:p>
          <w:p w14:paraId="42EA2206" w14:textId="77777777" w:rsidR="004843DF" w:rsidRDefault="004843D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37" w:type="dxa"/>
          </w:tcPr>
          <w:p w14:paraId="2B282230"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9,033.25</w:t>
            </w:r>
          </w:p>
        </w:tc>
      </w:tr>
      <w:tr w:rsidR="004843DF" w14:paraId="43E55E3E" w14:textId="77777777" w:rsidTr="004843DF">
        <w:trPr>
          <w:trHeight w:val="305"/>
        </w:trPr>
        <w:tc>
          <w:tcPr>
            <w:cnfStyle w:val="001000000000" w:firstRow="0" w:lastRow="0" w:firstColumn="1" w:lastColumn="0" w:oddVBand="0" w:evenVBand="0" w:oddHBand="0" w:evenHBand="0" w:firstRowFirstColumn="0" w:firstRowLastColumn="0" w:lastRowFirstColumn="0" w:lastRowLastColumn="0"/>
            <w:tcW w:w="1814" w:type="dxa"/>
          </w:tcPr>
          <w:p w14:paraId="4A3CC1E2" w14:textId="77777777" w:rsidR="004843DF" w:rsidRDefault="00375391">
            <w:pPr>
              <w:pStyle w:val="NoSpacing"/>
              <w:spacing w:line="276" w:lineRule="auto"/>
              <w:jc w:val="left"/>
              <w:rPr>
                <w:b w:val="0"/>
                <w:sz w:val="18"/>
                <w:szCs w:val="18"/>
              </w:rPr>
            </w:pPr>
            <w:r>
              <w:rPr>
                <w:b w:val="0"/>
                <w:sz w:val="18"/>
                <w:szCs w:val="18"/>
              </w:rPr>
              <w:t>National Switch (</w:t>
            </w:r>
            <w:proofErr w:type="spellStart"/>
            <w:r>
              <w:rPr>
                <w:b w:val="0"/>
                <w:sz w:val="18"/>
                <w:szCs w:val="18"/>
              </w:rPr>
              <w:t>Gh</w:t>
            </w:r>
            <w:proofErr w:type="spellEnd"/>
            <w:r>
              <w:rPr>
                <w:b w:val="0"/>
                <w:sz w:val="18"/>
                <w:szCs w:val="18"/>
              </w:rPr>
              <w:t>-link)</w:t>
            </w:r>
          </w:p>
        </w:tc>
        <w:tc>
          <w:tcPr>
            <w:tcW w:w="1128" w:type="dxa"/>
          </w:tcPr>
          <w:p w14:paraId="17E6CBCD"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1.10</w:t>
            </w:r>
          </w:p>
        </w:tc>
        <w:tc>
          <w:tcPr>
            <w:tcW w:w="995" w:type="dxa"/>
          </w:tcPr>
          <w:p w14:paraId="0C25430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67.50</w:t>
            </w:r>
          </w:p>
        </w:tc>
        <w:tc>
          <w:tcPr>
            <w:tcW w:w="995" w:type="dxa"/>
          </w:tcPr>
          <w:p w14:paraId="0C883470"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183.32</w:t>
            </w:r>
          </w:p>
        </w:tc>
        <w:tc>
          <w:tcPr>
            <w:tcW w:w="1137" w:type="dxa"/>
          </w:tcPr>
          <w:p w14:paraId="6050739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305.14</w:t>
            </w:r>
          </w:p>
        </w:tc>
        <w:tc>
          <w:tcPr>
            <w:tcW w:w="1137" w:type="dxa"/>
          </w:tcPr>
          <w:p w14:paraId="096E7B70"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447.04</w:t>
            </w:r>
          </w:p>
        </w:tc>
        <w:tc>
          <w:tcPr>
            <w:tcW w:w="1137" w:type="dxa"/>
          </w:tcPr>
          <w:p w14:paraId="6E823188"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603.43</w:t>
            </w:r>
          </w:p>
        </w:tc>
        <w:tc>
          <w:tcPr>
            <w:tcW w:w="1137" w:type="dxa"/>
          </w:tcPr>
          <w:p w14:paraId="13B310F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543.74</w:t>
            </w:r>
          </w:p>
        </w:tc>
        <w:tc>
          <w:tcPr>
            <w:tcW w:w="1134" w:type="dxa"/>
          </w:tcPr>
          <w:p w14:paraId="579D9BA1"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329.23</w:t>
            </w:r>
          </w:p>
        </w:tc>
        <w:tc>
          <w:tcPr>
            <w:tcW w:w="1137" w:type="dxa"/>
          </w:tcPr>
          <w:p w14:paraId="54686486"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329.7</w:t>
            </w:r>
          </w:p>
        </w:tc>
      </w:tr>
      <w:tr w:rsidR="004843DF" w14:paraId="46AA232E" w14:textId="77777777" w:rsidTr="0048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15D4A23" w14:textId="77777777" w:rsidR="004843DF" w:rsidRDefault="00375391">
            <w:pPr>
              <w:pStyle w:val="NoSpacing"/>
              <w:spacing w:line="276" w:lineRule="auto"/>
              <w:jc w:val="left"/>
              <w:rPr>
                <w:b w:val="0"/>
                <w:sz w:val="18"/>
                <w:szCs w:val="18"/>
              </w:rPr>
            </w:pPr>
            <w:proofErr w:type="spellStart"/>
            <w:r>
              <w:rPr>
                <w:b w:val="0"/>
                <w:sz w:val="18"/>
                <w:szCs w:val="18"/>
              </w:rPr>
              <w:t>GhIPSS</w:t>
            </w:r>
            <w:proofErr w:type="spellEnd"/>
            <w:r>
              <w:rPr>
                <w:b w:val="0"/>
                <w:sz w:val="18"/>
                <w:szCs w:val="18"/>
              </w:rPr>
              <w:t xml:space="preserve"> Instant Pay (GIP)</w:t>
            </w:r>
          </w:p>
        </w:tc>
        <w:tc>
          <w:tcPr>
            <w:tcW w:w="1128" w:type="dxa"/>
          </w:tcPr>
          <w:p w14:paraId="02F203D9"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95" w:type="dxa"/>
          </w:tcPr>
          <w:p w14:paraId="198A5B39"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95" w:type="dxa"/>
          </w:tcPr>
          <w:p w14:paraId="6BDA66CF"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37" w:type="dxa"/>
          </w:tcPr>
          <w:p w14:paraId="34A70085"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37" w:type="dxa"/>
          </w:tcPr>
          <w:p w14:paraId="05CBC8C2"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37" w:type="dxa"/>
          </w:tcPr>
          <w:p w14:paraId="75E1772A"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83.23</w:t>
            </w:r>
          </w:p>
        </w:tc>
        <w:tc>
          <w:tcPr>
            <w:tcW w:w="1137" w:type="dxa"/>
          </w:tcPr>
          <w:p w14:paraId="65A58B67"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534.04</w:t>
            </w:r>
          </w:p>
        </w:tc>
        <w:tc>
          <w:tcPr>
            <w:tcW w:w="1134" w:type="dxa"/>
          </w:tcPr>
          <w:p w14:paraId="1AE1E615"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3,456.89</w:t>
            </w:r>
          </w:p>
        </w:tc>
        <w:tc>
          <w:tcPr>
            <w:tcW w:w="1137" w:type="dxa"/>
          </w:tcPr>
          <w:p w14:paraId="67446A2D"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9,146.76</w:t>
            </w:r>
          </w:p>
        </w:tc>
      </w:tr>
      <w:tr w:rsidR="004843DF" w14:paraId="0CB00AAB" w14:textId="77777777" w:rsidTr="004843DF">
        <w:tc>
          <w:tcPr>
            <w:cnfStyle w:val="001000000000" w:firstRow="0" w:lastRow="0" w:firstColumn="1" w:lastColumn="0" w:oddVBand="0" w:evenVBand="0" w:oddHBand="0" w:evenHBand="0" w:firstRowFirstColumn="0" w:firstRowLastColumn="0" w:lastRowFirstColumn="0" w:lastRowLastColumn="0"/>
            <w:tcW w:w="1814" w:type="dxa"/>
          </w:tcPr>
          <w:p w14:paraId="08146598" w14:textId="77777777" w:rsidR="004843DF" w:rsidRDefault="00375391">
            <w:pPr>
              <w:pStyle w:val="NoSpacing"/>
              <w:spacing w:line="276" w:lineRule="auto"/>
              <w:jc w:val="left"/>
              <w:rPr>
                <w:b w:val="0"/>
                <w:sz w:val="18"/>
                <w:szCs w:val="18"/>
              </w:rPr>
            </w:pPr>
            <w:r>
              <w:rPr>
                <w:b w:val="0"/>
                <w:sz w:val="18"/>
                <w:szCs w:val="18"/>
              </w:rPr>
              <w:t>Mobile Money Interoperability</w:t>
            </w:r>
          </w:p>
        </w:tc>
        <w:tc>
          <w:tcPr>
            <w:tcW w:w="1128" w:type="dxa"/>
          </w:tcPr>
          <w:p w14:paraId="118A2F72"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95" w:type="dxa"/>
          </w:tcPr>
          <w:p w14:paraId="7D4AD6DE"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95" w:type="dxa"/>
          </w:tcPr>
          <w:p w14:paraId="3B21F42A"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37" w:type="dxa"/>
          </w:tcPr>
          <w:p w14:paraId="20A0D04B"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37" w:type="dxa"/>
          </w:tcPr>
          <w:p w14:paraId="54638956"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37" w:type="dxa"/>
          </w:tcPr>
          <w:p w14:paraId="09989C03"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37" w:type="dxa"/>
          </w:tcPr>
          <w:p w14:paraId="3EA5C48E"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212.89</w:t>
            </w:r>
          </w:p>
        </w:tc>
        <w:tc>
          <w:tcPr>
            <w:tcW w:w="1134" w:type="dxa"/>
          </w:tcPr>
          <w:p w14:paraId="78724E87"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37" w:type="dxa"/>
          </w:tcPr>
          <w:p w14:paraId="543B942B" w14:textId="77777777" w:rsidR="004843DF" w:rsidRDefault="00375391">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4843DF" w14:paraId="71C31D2C" w14:textId="77777777" w:rsidTr="00484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895FBD1" w14:textId="77777777" w:rsidR="004843DF" w:rsidRDefault="00375391">
            <w:pPr>
              <w:pStyle w:val="NoSpacing"/>
              <w:spacing w:line="276" w:lineRule="auto"/>
              <w:jc w:val="left"/>
              <w:rPr>
                <w:b w:val="0"/>
                <w:sz w:val="18"/>
                <w:szCs w:val="18"/>
              </w:rPr>
            </w:pPr>
            <w:r>
              <w:rPr>
                <w:b w:val="0"/>
                <w:sz w:val="18"/>
                <w:szCs w:val="18"/>
              </w:rPr>
              <w:t>Mobile Money</w:t>
            </w:r>
          </w:p>
        </w:tc>
        <w:tc>
          <w:tcPr>
            <w:tcW w:w="1128" w:type="dxa"/>
          </w:tcPr>
          <w:p w14:paraId="0CEA5586"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594.12</w:t>
            </w:r>
          </w:p>
        </w:tc>
        <w:tc>
          <w:tcPr>
            <w:tcW w:w="995" w:type="dxa"/>
          </w:tcPr>
          <w:p w14:paraId="14DFABEE"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2,652.47</w:t>
            </w:r>
          </w:p>
        </w:tc>
        <w:tc>
          <w:tcPr>
            <w:tcW w:w="995" w:type="dxa"/>
          </w:tcPr>
          <w:p w14:paraId="63D3906B"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12,123.89</w:t>
            </w:r>
          </w:p>
        </w:tc>
        <w:tc>
          <w:tcPr>
            <w:tcW w:w="1137" w:type="dxa"/>
          </w:tcPr>
          <w:p w14:paraId="4658333C"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35,444.38</w:t>
            </w:r>
          </w:p>
        </w:tc>
        <w:tc>
          <w:tcPr>
            <w:tcW w:w="1137" w:type="dxa"/>
          </w:tcPr>
          <w:p w14:paraId="40B260E2"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78,508.90</w:t>
            </w:r>
          </w:p>
        </w:tc>
        <w:tc>
          <w:tcPr>
            <w:tcW w:w="1137" w:type="dxa"/>
          </w:tcPr>
          <w:p w14:paraId="163BA103"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155,844.84</w:t>
            </w:r>
          </w:p>
        </w:tc>
        <w:tc>
          <w:tcPr>
            <w:tcW w:w="1137" w:type="dxa"/>
          </w:tcPr>
          <w:p w14:paraId="089C9A94"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223,207.23</w:t>
            </w:r>
          </w:p>
        </w:tc>
        <w:tc>
          <w:tcPr>
            <w:tcW w:w="1134" w:type="dxa"/>
          </w:tcPr>
          <w:p w14:paraId="7AE2D2DD"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309,352.25</w:t>
            </w:r>
          </w:p>
        </w:tc>
        <w:tc>
          <w:tcPr>
            <w:tcW w:w="1137" w:type="dxa"/>
          </w:tcPr>
          <w:p w14:paraId="6AC063D7" w14:textId="77777777" w:rsidR="004843DF" w:rsidRDefault="0037539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564,155.90</w:t>
            </w:r>
          </w:p>
        </w:tc>
      </w:tr>
    </w:tbl>
    <w:p w14:paraId="65431AAA" w14:textId="77777777" w:rsidR="004843DF" w:rsidRDefault="00375391">
      <w:pPr>
        <w:pStyle w:val="NoSpacing"/>
        <w:rPr>
          <w:b/>
        </w:rPr>
      </w:pPr>
      <w:r>
        <w:rPr>
          <w:b/>
        </w:rPr>
        <w:t xml:space="preserve">Source: </w:t>
      </w:r>
      <w:proofErr w:type="spellStart"/>
      <w:r>
        <w:t>BoG</w:t>
      </w:r>
      <w:proofErr w:type="spellEnd"/>
      <w:r>
        <w:t xml:space="preserve"> 2020</w:t>
      </w:r>
    </w:p>
    <w:p w14:paraId="5A62EB5C" w14:textId="77777777" w:rsidR="004843DF" w:rsidRDefault="004843DF">
      <w:pPr>
        <w:pStyle w:val="NoSpacing"/>
        <w:jc w:val="left"/>
        <w:rPr>
          <w:b/>
        </w:rPr>
      </w:pPr>
    </w:p>
    <w:p w14:paraId="1FEC0F13" w14:textId="77777777" w:rsidR="004843DF" w:rsidRDefault="00375391">
      <w:pPr>
        <w:pStyle w:val="NoSpacing"/>
        <w:jc w:val="left"/>
        <w:rPr>
          <w:b/>
        </w:rPr>
      </w:pPr>
      <w:r>
        <w:rPr>
          <w:b/>
        </w:rPr>
        <w:t xml:space="preserve">Integrating Digitalization into the </w:t>
      </w:r>
      <w:proofErr w:type="spellStart"/>
      <w:r>
        <w:rPr>
          <w:b/>
        </w:rPr>
        <w:t>AfCFTA</w:t>
      </w:r>
      <w:proofErr w:type="spellEnd"/>
      <w:r>
        <w:rPr>
          <w:b/>
        </w:rPr>
        <w:t>- New Tool to New Age</w:t>
      </w:r>
    </w:p>
    <w:p w14:paraId="3E0B1FE6" w14:textId="3942CF87" w:rsidR="004843DF" w:rsidRDefault="00375391">
      <w:pPr>
        <w:pStyle w:val="NoSpacing"/>
        <w:rPr>
          <w:szCs w:val="24"/>
        </w:rPr>
      </w:pPr>
      <w:r>
        <w:rPr>
          <w:szCs w:val="24"/>
        </w:rPr>
        <w:t>Digitization has transformed Africa's trade systems and infrastructure. By embracing digital intra African and centralizing payments, economies save billions of dollars each year.  Digitalized intra African systems reduce transaction costs in terms of time, travel, and even unit prices. Indeed, this change affects both the affluent and the poor, the underserved and the unserved, as well as formal and informal companies. Currently, intra-African trade accounts for around 18% of the continent's total trade. In Asia, intra-regional commerce accounts for 59% of total trade, whereas in Europe, it accounts for 69%.</w:t>
      </w:r>
      <w:r>
        <w:rPr>
          <w:rStyle w:val="FootnoteReference"/>
          <w:szCs w:val="24"/>
        </w:rPr>
        <w:footnoteReference w:id="9"/>
      </w:r>
    </w:p>
    <w:p w14:paraId="532047BB" w14:textId="77777777" w:rsidR="00AC3DA4" w:rsidRDefault="00AC3DA4">
      <w:pPr>
        <w:pStyle w:val="NoSpacing"/>
        <w:rPr>
          <w:szCs w:val="24"/>
        </w:rPr>
      </w:pPr>
    </w:p>
    <w:p w14:paraId="4BD385C8" w14:textId="186CBB09" w:rsidR="004843DF" w:rsidRDefault="00375391">
      <w:pPr>
        <w:pStyle w:val="NoSpacing"/>
      </w:pPr>
      <w:r>
        <w:t>Both products and services trade will continue to be impacted by digitalization and the attendant economic transformations. Global value chains and micro-multinationals are being enabled by digitalization, as well as new tradeable goods and services. When it comes to actual commodities, digitization can save time, improve accuracy, and make border crossings more frictionless. Digitized single windows, blockchain-based commerce and trade finance paperwork, QR code scanning, and geo-locating gadgets are just a few examples. COMESA's digitized trade agreement is one regional initiative to digitize customs and border operations, including encouraging and establishing legally acceptable e-signatures, e-certificates of origin (based on blockchain), and single windows. Customs and other revenue collection can also be aided by digitization, such as by automated revenue collection.</w:t>
      </w:r>
    </w:p>
    <w:p w14:paraId="1E50038A" w14:textId="77777777" w:rsidR="00AC3DA4" w:rsidRDefault="00AC3DA4">
      <w:pPr>
        <w:pStyle w:val="NoSpacing"/>
      </w:pPr>
    </w:p>
    <w:p w14:paraId="0CC03196" w14:textId="7EA4929B" w:rsidR="004843DF" w:rsidRDefault="00375391">
      <w:pPr>
        <w:pStyle w:val="NoSpacing"/>
        <w:rPr>
          <w:szCs w:val="24"/>
        </w:rPr>
      </w:pPr>
      <w:r>
        <w:rPr>
          <w:szCs w:val="24"/>
        </w:rPr>
        <w:t>Because it generates great potential for cross-border e-commerce, Africa's Continental Free Trade Area will have a favorable impact on the digital trade sector. The quantity and quality of supply varies greatly between countries, creating a plethora of market potential for internet entrepreneurs. To facilitate cross-border trade, e-commerce platforms can also help with logistics and payment solutions.</w:t>
      </w:r>
      <w:r>
        <w:rPr>
          <w:rStyle w:val="FootnoteReference"/>
          <w:szCs w:val="24"/>
        </w:rPr>
        <w:footnoteReference w:id="10"/>
      </w:r>
      <w:r>
        <w:rPr>
          <w:szCs w:val="24"/>
        </w:rPr>
        <w:t xml:space="preserve"> E-payments are a critical enabler of trade in general, and particularly small-scale trade. The </w:t>
      </w:r>
      <w:proofErr w:type="spellStart"/>
      <w:r>
        <w:rPr>
          <w:szCs w:val="24"/>
        </w:rPr>
        <w:t>AfCFTA</w:t>
      </w:r>
      <w:proofErr w:type="spellEnd"/>
      <w:r>
        <w:rPr>
          <w:szCs w:val="24"/>
        </w:rPr>
        <w:t xml:space="preserve"> should also include agreements to ensure unfettered cross-border data flow, as cross-border trade in the digital economy is difficult without it. For example, not only physical but also </w:t>
      </w:r>
      <w:r>
        <w:rPr>
          <w:szCs w:val="24"/>
        </w:rPr>
        <w:lastRenderedPageBreak/>
        <w:t>digital components must be able to quickly cross borders in regional and global value chains, especially as manufacturing gets more complex.</w:t>
      </w:r>
    </w:p>
    <w:p w14:paraId="0A993D79" w14:textId="77777777" w:rsidR="00AC3DA4" w:rsidRDefault="00AC3DA4">
      <w:pPr>
        <w:pStyle w:val="NoSpacing"/>
        <w:rPr>
          <w:color w:val="FF0000"/>
          <w:szCs w:val="24"/>
        </w:rPr>
      </w:pPr>
    </w:p>
    <w:p w14:paraId="443AF87F" w14:textId="33D7F37F" w:rsidR="004843DF" w:rsidRDefault="00375391">
      <w:pPr>
        <w:pStyle w:val="NoSpacing"/>
        <w:rPr>
          <w:szCs w:val="24"/>
        </w:rPr>
      </w:pPr>
      <w:r>
        <w:rPr>
          <w:szCs w:val="24"/>
        </w:rPr>
        <w:t>Digitalization is also essential for the African Continental Free Trade Area to reach its full potential (</w:t>
      </w:r>
      <w:proofErr w:type="spellStart"/>
      <w:r>
        <w:rPr>
          <w:szCs w:val="24"/>
        </w:rPr>
        <w:t>AfCFTA</w:t>
      </w:r>
      <w:proofErr w:type="spellEnd"/>
      <w:r>
        <w:rPr>
          <w:szCs w:val="24"/>
        </w:rPr>
        <w:t xml:space="preserve">). Significant improvements in Africa's digital infrastructure, as well as a focus on legislation that safeguard and enhance digital trade, are required to strengthen the capacity of African enterprises and entrepreneurs to trade easily within Africa's borders and access a worldwide marketplace. Investments in digitalization can also be made through public-private partnerships, which recognize the multiplier effects of such an investment. Digitalization, when combined with the </w:t>
      </w:r>
      <w:proofErr w:type="spellStart"/>
      <w:r>
        <w:rPr>
          <w:szCs w:val="24"/>
        </w:rPr>
        <w:t>AfCFTA</w:t>
      </w:r>
      <w:proofErr w:type="spellEnd"/>
      <w:r>
        <w:rPr>
          <w:szCs w:val="24"/>
        </w:rPr>
        <w:t>, has the potential to drastically reduce inequality by making it easier to reach even the most disadvantaged and vulnerable people.</w:t>
      </w:r>
    </w:p>
    <w:p w14:paraId="7EA50CE0" w14:textId="77777777" w:rsidR="00AC3DA4" w:rsidRDefault="00AC3DA4">
      <w:pPr>
        <w:pStyle w:val="NoSpacing"/>
        <w:rPr>
          <w:szCs w:val="24"/>
        </w:rPr>
      </w:pPr>
    </w:p>
    <w:p w14:paraId="255BF209" w14:textId="77777777" w:rsidR="004843DF" w:rsidRDefault="00375391">
      <w:pPr>
        <w:pStyle w:val="NoSpacing"/>
        <w:rPr>
          <w:szCs w:val="24"/>
        </w:rPr>
      </w:pPr>
      <w:r>
        <w:rPr>
          <w:szCs w:val="24"/>
        </w:rPr>
        <w:t>The retail payment system and infrastructure have been transformed by digitization. Using electronic payments and centralizing them saves economies billions of dollars every year. One of the first beneficiaries of mobile-phone based payments and transactions systems is the retail payments infrastructure. Electronic payment solutions save money in terms of time, travel, and even unit expenses. Rich and poor, underserved and unserved, formal and informal companies are all affected by this change.</w:t>
      </w:r>
    </w:p>
    <w:p w14:paraId="53610B33" w14:textId="77777777" w:rsidR="0021256F" w:rsidRPr="00377FD0" w:rsidRDefault="0021256F" w:rsidP="00377FD0">
      <w:pPr>
        <w:pStyle w:val="NoSpacing"/>
      </w:pPr>
    </w:p>
    <w:p w14:paraId="4CF78BC1" w14:textId="77777777" w:rsidR="004843DF" w:rsidRPr="0021256F" w:rsidRDefault="00375391">
      <w:pPr>
        <w:pStyle w:val="NoSpacing"/>
        <w:rPr>
          <w:b/>
          <w:szCs w:val="24"/>
        </w:rPr>
      </w:pPr>
      <w:r w:rsidRPr="0021256F">
        <w:rPr>
          <w:b/>
          <w:szCs w:val="24"/>
        </w:rPr>
        <w:t>Conclusion</w:t>
      </w:r>
    </w:p>
    <w:p w14:paraId="4FB937FD" w14:textId="77777777" w:rsidR="004843DF" w:rsidRDefault="00375391">
      <w:pPr>
        <w:spacing w:line="360" w:lineRule="auto"/>
        <w:jc w:val="both"/>
        <w:rPr>
          <w:rFonts w:ascii="Garamond" w:hAnsi="Garamond"/>
          <w:sz w:val="24"/>
          <w:szCs w:val="24"/>
        </w:rPr>
      </w:pPr>
      <w:r>
        <w:rPr>
          <w:rFonts w:ascii="Garamond" w:hAnsi="Garamond"/>
          <w:sz w:val="24"/>
          <w:szCs w:val="24"/>
        </w:rPr>
        <w:t xml:space="preserve">There is an urgent need for digital infrastructure that will enable the Free Trade Area to address the kind of scale for a billion people on the continent. An efficient digital economy can only be accomplished when government and other stakeholders drive policies and solve basic infrastructural problems that can ease and drive down the cost and ease of doing business, strengthening digital infrastructure, promote digital literacy and make affordable high-speed digital technologies. It is important to note that digitization is the lifeblood of business in the digital economy. Digitization is crucial to facilitating intra-continental trade, and consequently vital to the successful implementation of the </w:t>
      </w:r>
      <w:proofErr w:type="spellStart"/>
      <w:r>
        <w:rPr>
          <w:rFonts w:ascii="Garamond" w:hAnsi="Garamond"/>
          <w:sz w:val="24"/>
          <w:szCs w:val="24"/>
        </w:rPr>
        <w:t>AfCFTA</w:t>
      </w:r>
      <w:proofErr w:type="spellEnd"/>
      <w:r>
        <w:rPr>
          <w:rFonts w:ascii="Garamond" w:hAnsi="Garamond"/>
          <w:sz w:val="24"/>
          <w:szCs w:val="24"/>
        </w:rPr>
        <w:t xml:space="preserve">. Lack of a common framework will continue to hinder the integration and optimization of the imminent benefit of the trade agreement. The continent cannot afford to miss out on the immense prospect of continental digital market and harnessing a global digital economy. </w:t>
      </w:r>
    </w:p>
    <w:p w14:paraId="0FA5CCB0" w14:textId="77777777" w:rsidR="004843DF" w:rsidRDefault="00375391">
      <w:pPr>
        <w:spacing w:line="360" w:lineRule="auto"/>
        <w:jc w:val="both"/>
        <w:rPr>
          <w:rFonts w:ascii="Garamond" w:hAnsi="Garamond"/>
          <w:sz w:val="24"/>
          <w:szCs w:val="24"/>
        </w:rPr>
      </w:pPr>
      <w:r>
        <w:rPr>
          <w:rFonts w:ascii="Garamond" w:hAnsi="Garamond"/>
          <w:sz w:val="24"/>
          <w:szCs w:val="24"/>
        </w:rPr>
        <w:t xml:space="preserve">African leaders must see the nexus between digitization and trade. A comprehensive digital development strategy should address investment in digital infrastructure, complex cross border </w:t>
      </w:r>
      <w:r>
        <w:rPr>
          <w:rFonts w:ascii="Garamond" w:hAnsi="Garamond"/>
          <w:sz w:val="24"/>
          <w:szCs w:val="24"/>
        </w:rPr>
        <w:lastRenderedPageBreak/>
        <w:t xml:space="preserve">internet regulatory concerns, bridge digital divide and inclusion, and curtail prospective undesirable social and development effects. Beyond a digitalized framework, the success of the </w:t>
      </w:r>
      <w:proofErr w:type="spellStart"/>
      <w:r>
        <w:rPr>
          <w:rFonts w:ascii="Garamond" w:hAnsi="Garamond"/>
          <w:sz w:val="24"/>
          <w:szCs w:val="24"/>
        </w:rPr>
        <w:t>AfCFTA</w:t>
      </w:r>
      <w:proofErr w:type="spellEnd"/>
      <w:r>
        <w:rPr>
          <w:rFonts w:ascii="Garamond" w:hAnsi="Garamond"/>
          <w:sz w:val="24"/>
          <w:szCs w:val="24"/>
        </w:rPr>
        <w:t xml:space="preserve"> will be hinged on policies around addressing e-transaction and consumer protection, content restrictions and censorship laws, Intellectual property protection, Intermediary liability and competition. The implementation will see multi-national companies adopt a digitalize global trade with ease, trade more with Africa without fear of inadequate protection, and increase the intra-continent trade volume. A proper harmonization of data protection and </w:t>
      </w:r>
      <w:proofErr w:type="spellStart"/>
      <w:r>
        <w:rPr>
          <w:rFonts w:ascii="Garamond" w:hAnsi="Garamond"/>
          <w:sz w:val="24"/>
          <w:szCs w:val="24"/>
        </w:rPr>
        <w:t>AfCFTA</w:t>
      </w:r>
      <w:proofErr w:type="spellEnd"/>
      <w:r>
        <w:rPr>
          <w:rFonts w:ascii="Garamond" w:hAnsi="Garamond"/>
          <w:sz w:val="24"/>
          <w:szCs w:val="24"/>
        </w:rPr>
        <w:t xml:space="preserve"> would create opportunities and a sustainable path for Africa’s youthful and growing population. African government will build digital businesses products and models not just for the continental market, but equally to expand and seek global competitive advantage. </w:t>
      </w:r>
    </w:p>
    <w:p w14:paraId="66AA455D" w14:textId="77777777" w:rsidR="004843DF" w:rsidRDefault="004843DF">
      <w:pPr>
        <w:pStyle w:val="NoSpacing"/>
      </w:pPr>
    </w:p>
    <w:p w14:paraId="2D34014A" w14:textId="77777777" w:rsidR="00F624CB" w:rsidRDefault="00F624CB">
      <w:pPr>
        <w:pStyle w:val="NoSpacing"/>
        <w:rPr>
          <w:b/>
        </w:rPr>
      </w:pPr>
      <w:r w:rsidRPr="00F624CB">
        <w:rPr>
          <w:b/>
        </w:rPr>
        <w:t>Recommendation</w:t>
      </w:r>
    </w:p>
    <w:p w14:paraId="3F223B11" w14:textId="00B1BC52" w:rsidR="000B3343" w:rsidRDefault="000B3343">
      <w:pPr>
        <w:pStyle w:val="NoSpacing"/>
      </w:pPr>
      <w:r w:rsidRPr="000B3343">
        <w:t>The infl</w:t>
      </w:r>
      <w:r>
        <w:t>uence of digitalization and the</w:t>
      </w:r>
      <w:r w:rsidRPr="000B3343">
        <w:t xml:space="preserve"> economic transformations </w:t>
      </w:r>
      <w:r w:rsidR="00B853E4">
        <w:t>of</w:t>
      </w:r>
      <w:r w:rsidRPr="000B3343">
        <w:t xml:space="preserve"> trade will continue to be significant. Multinational value chains and micro-multinationals are being enabled by digitalization, as well as new tradeable goods and services. It is obfuscating the distinction between commodities and services, as well as the distinction between jurisdictions. </w:t>
      </w:r>
    </w:p>
    <w:p w14:paraId="3D924751" w14:textId="77777777" w:rsidR="00AC3DA4" w:rsidRDefault="00AC3DA4">
      <w:pPr>
        <w:pStyle w:val="NoSpacing"/>
      </w:pPr>
    </w:p>
    <w:p w14:paraId="1F40C415" w14:textId="1CEBE0FE" w:rsidR="00B6733C" w:rsidRDefault="000B3343">
      <w:pPr>
        <w:pStyle w:val="NoSpacing"/>
      </w:pPr>
      <w:r w:rsidRPr="000B3343">
        <w:t>While the private sector will drive digital economic progress, trade policy decisions made by governments will have an impact. Domestically and through the African Continental Free Trade Area (</w:t>
      </w:r>
      <w:proofErr w:type="spellStart"/>
      <w:r w:rsidRPr="000B3343">
        <w:t>AfCFTA</w:t>
      </w:r>
      <w:proofErr w:type="spellEnd"/>
      <w:r w:rsidRPr="000B3343">
        <w:t>) accord, African policymakers can stimulate digital trade and the development of the digital economy.</w:t>
      </w:r>
      <w:r>
        <w:t xml:space="preserve"> </w:t>
      </w:r>
      <w:r w:rsidRPr="000B3343">
        <w:t>The underlying infrastructure, such as energy and telecommunications, is critical to the growth of the digital economy. The digital economy cannot thrive without solid foundations. Liberalizing trade in these services will allow new players to enter the market and increase competition. </w:t>
      </w:r>
    </w:p>
    <w:p w14:paraId="20232E3E" w14:textId="77777777" w:rsidR="00AC3DA4" w:rsidRDefault="00AC3DA4">
      <w:pPr>
        <w:pStyle w:val="NoSpacing"/>
      </w:pPr>
    </w:p>
    <w:p w14:paraId="12AF295B" w14:textId="2FC6CABD" w:rsidR="006F031C" w:rsidRDefault="006F031C">
      <w:pPr>
        <w:pStyle w:val="NoSpacing"/>
      </w:pPr>
      <w:r w:rsidRPr="006F031C">
        <w:t xml:space="preserve">The </w:t>
      </w:r>
      <w:proofErr w:type="spellStart"/>
      <w:r w:rsidRPr="006F031C">
        <w:t>AfCFTA</w:t>
      </w:r>
      <w:proofErr w:type="spellEnd"/>
      <w:r w:rsidRPr="006F031C">
        <w:t xml:space="preserve"> should also include promises to ensure unfettered cross-border flow of information, as cross-border trade in the digital economy is difficult without it. For example, not only physical but also digital components must be able to quickly cross borders in regional and global value chains, especially as manufacturing gets more complex. Other services could be </w:t>
      </w:r>
      <w:proofErr w:type="gramStart"/>
      <w:r w:rsidRPr="006F031C">
        <w:t>liberalized</w:t>
      </w:r>
      <w:proofErr w:type="gramEnd"/>
      <w:r w:rsidRPr="006F031C">
        <w:t xml:space="preserve"> and regulatory restrictions reduced to facilitate and encourage trade.</w:t>
      </w:r>
    </w:p>
    <w:p w14:paraId="785C9191" w14:textId="77777777" w:rsidR="00AC3DA4" w:rsidRDefault="00AC3DA4">
      <w:pPr>
        <w:pStyle w:val="NoSpacing"/>
      </w:pPr>
    </w:p>
    <w:p w14:paraId="64D245B9" w14:textId="124970DF" w:rsidR="005D4CA4" w:rsidRDefault="005D4CA4">
      <w:pPr>
        <w:pStyle w:val="NoSpacing"/>
      </w:pPr>
      <w:r w:rsidRPr="005D4CA4">
        <w:lastRenderedPageBreak/>
        <w:t xml:space="preserve">It's also critical to identify and support people who the digital economy has the potential to leave behind on a national level. Policymakers must discover measures to limit the developments' harmful consequences. Although trade regulations are unlikely to impact the economy's inevitable </w:t>
      </w:r>
      <w:proofErr w:type="spellStart"/>
      <w:r w:rsidRPr="005D4CA4">
        <w:t>digitalisation</w:t>
      </w:r>
      <w:proofErr w:type="spellEnd"/>
      <w:r w:rsidRPr="005D4CA4">
        <w:t>, new opportunities offered by digital commerce, such as those in cross-border services, may provide fresh options for those who have been displaced by digital innovations. This will necessitate government initiatives based on evidence, as well as a commitment to reskilling.</w:t>
      </w:r>
    </w:p>
    <w:p w14:paraId="267BE4F8" w14:textId="77777777" w:rsidR="00AC3DA4" w:rsidRDefault="00AC3DA4">
      <w:pPr>
        <w:pStyle w:val="NoSpacing"/>
      </w:pPr>
    </w:p>
    <w:p w14:paraId="71C9B6DA" w14:textId="77777777" w:rsidR="00B853E4" w:rsidRPr="00B6733C" w:rsidRDefault="00B853E4">
      <w:pPr>
        <w:pStyle w:val="NoSpacing"/>
      </w:pPr>
      <w:r w:rsidRPr="00B853E4">
        <w:t>The government will need to help local entre</w:t>
      </w:r>
      <w:r>
        <w:t xml:space="preserve">preneurs build new </w:t>
      </w:r>
      <w:r w:rsidRPr="00B853E4">
        <w:t>business models by supporting the developm</w:t>
      </w:r>
      <w:r w:rsidR="00BE75C3">
        <w:t xml:space="preserve">ent of innovation </w:t>
      </w:r>
      <w:proofErr w:type="spellStart"/>
      <w:r w:rsidR="00BE75C3">
        <w:t>centres</w:t>
      </w:r>
      <w:proofErr w:type="spellEnd"/>
      <w:r w:rsidR="00BE75C3">
        <w:t>. The G</w:t>
      </w:r>
      <w:r w:rsidRPr="00B853E4">
        <w:t>overnment</w:t>
      </w:r>
      <w:r w:rsidR="00BE75C3">
        <w:t xml:space="preserve"> of Ghana’s flagship program</w:t>
      </w:r>
      <w:r w:rsidRPr="00B853E4">
        <w:t xml:space="preserve"> You-Start Initiative is a good example for expanding e-government services and policies to make things like </w:t>
      </w:r>
      <w:r w:rsidR="00BE75C3" w:rsidRPr="00B853E4">
        <w:t>crowd funding</w:t>
      </w:r>
      <w:r w:rsidRPr="00B853E4">
        <w:t xml:space="preserve"> more accessible.</w:t>
      </w:r>
    </w:p>
    <w:p w14:paraId="6278B192" w14:textId="77777777" w:rsidR="004843DF" w:rsidRDefault="004843DF">
      <w:pPr>
        <w:pStyle w:val="NoSpacing"/>
        <w:rPr>
          <w:b/>
        </w:rPr>
      </w:pPr>
    </w:p>
    <w:p w14:paraId="4B4108ED" w14:textId="77777777" w:rsidR="004843DF" w:rsidRDefault="004843DF">
      <w:pPr>
        <w:pStyle w:val="NoSpacing"/>
        <w:jc w:val="left"/>
        <w:rPr>
          <w:b/>
        </w:rPr>
      </w:pPr>
    </w:p>
    <w:p w14:paraId="1900529A" w14:textId="77777777" w:rsidR="004843DF" w:rsidRDefault="00375391">
      <w:pPr>
        <w:pStyle w:val="NoSpacing"/>
        <w:jc w:val="left"/>
      </w:pPr>
      <w:r>
        <w:t xml:space="preserve"> </w:t>
      </w:r>
    </w:p>
    <w:sectPr w:rsidR="004843DF">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CB23" w14:textId="77777777" w:rsidR="007860BE" w:rsidRDefault="007860BE">
      <w:pPr>
        <w:spacing w:after="0" w:line="240" w:lineRule="auto"/>
      </w:pPr>
      <w:r>
        <w:separator/>
      </w:r>
    </w:p>
  </w:endnote>
  <w:endnote w:type="continuationSeparator" w:id="0">
    <w:p w14:paraId="164A3054" w14:textId="77777777" w:rsidR="007860BE" w:rsidRDefault="0078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Light">
    <w:panose1 w:val="00000000000000000000"/>
    <w:charset w:val="00"/>
    <w:family w:val="swiss"/>
    <w:notTrueType/>
    <w:pitch w:val="default"/>
    <w:sig w:usb0="00000003" w:usb1="00000000" w:usb2="00000000" w:usb3="00000000" w:csb0="00000001" w:csb1="00000000"/>
  </w:font>
  <w:font w:name="Montserrat-LightItalic">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1F61" w14:textId="77777777" w:rsidR="007860BE" w:rsidRDefault="007860BE">
      <w:pPr>
        <w:spacing w:after="0" w:line="240" w:lineRule="auto"/>
      </w:pPr>
      <w:r>
        <w:separator/>
      </w:r>
    </w:p>
  </w:footnote>
  <w:footnote w:type="continuationSeparator" w:id="0">
    <w:p w14:paraId="71E4223F" w14:textId="77777777" w:rsidR="007860BE" w:rsidRDefault="007860BE">
      <w:pPr>
        <w:spacing w:after="0" w:line="240" w:lineRule="auto"/>
      </w:pPr>
      <w:r>
        <w:continuationSeparator/>
      </w:r>
    </w:p>
  </w:footnote>
  <w:footnote w:id="1">
    <w:p w14:paraId="6767C3FB" w14:textId="77777777" w:rsidR="004843DF" w:rsidRDefault="00375391">
      <w:pPr>
        <w:pStyle w:val="NoSpacing"/>
        <w:spacing w:line="240" w:lineRule="auto"/>
        <w:rPr>
          <w:sz w:val="20"/>
          <w:szCs w:val="20"/>
        </w:rPr>
      </w:pPr>
      <w:r>
        <w:rPr>
          <w:rStyle w:val="FootnoteReference"/>
          <w:sz w:val="20"/>
          <w:szCs w:val="20"/>
        </w:rPr>
        <w:footnoteRef/>
      </w:r>
      <w:r>
        <w:rPr>
          <w:sz w:val="20"/>
          <w:szCs w:val="20"/>
        </w:rPr>
        <w:t xml:space="preserve"> The DETF was a high-level task force set up by the EU/AU Africa–Europe Alliance in January 2019. Its final report was submitted in June 2019.</w:t>
      </w:r>
    </w:p>
  </w:footnote>
  <w:footnote w:id="2">
    <w:p w14:paraId="12D6651B" w14:textId="77777777" w:rsidR="004843DF" w:rsidRDefault="00375391">
      <w:pPr>
        <w:pStyle w:val="NoSpacing"/>
        <w:spacing w:line="240" w:lineRule="auto"/>
        <w:rPr>
          <w:sz w:val="20"/>
          <w:szCs w:val="20"/>
        </w:rPr>
      </w:pPr>
      <w:r>
        <w:rPr>
          <w:rStyle w:val="FootnoteReference"/>
          <w:sz w:val="20"/>
          <w:szCs w:val="20"/>
        </w:rPr>
        <w:footnoteRef/>
      </w:r>
      <w:r>
        <w:rPr>
          <w:sz w:val="20"/>
          <w:szCs w:val="20"/>
        </w:rPr>
        <w:t xml:space="preserve"> DETF, </w:t>
      </w:r>
      <w:r>
        <w:rPr>
          <w:rFonts w:cs="Montserrat-LightItalic"/>
          <w:i/>
          <w:iCs/>
          <w:sz w:val="20"/>
          <w:szCs w:val="20"/>
        </w:rPr>
        <w:t>Final Report</w:t>
      </w:r>
      <w:r>
        <w:rPr>
          <w:sz w:val="20"/>
          <w:szCs w:val="20"/>
        </w:rPr>
        <w:t>, 3. See also Cisco Digital Readiness Index, https://www.cisco.com/c/en/us/about/csr/research-resources/digitalreadiness.html</w:t>
      </w:r>
    </w:p>
  </w:footnote>
  <w:footnote w:id="3">
    <w:p w14:paraId="45F16605" w14:textId="77777777" w:rsidR="004843DF" w:rsidRDefault="00375391">
      <w:pPr>
        <w:pStyle w:val="NoSpacing"/>
        <w:spacing w:line="240" w:lineRule="auto"/>
        <w:rPr>
          <w:rFonts w:ascii="Montserrat-LightItalic" w:hAnsi="Montserrat-LightItalic" w:cs="Montserrat-LightItalic"/>
          <w:i/>
          <w:iCs/>
        </w:rPr>
      </w:pPr>
      <w:r>
        <w:rPr>
          <w:rStyle w:val="FootnoteReference"/>
        </w:rPr>
        <w:footnoteRef/>
      </w:r>
      <w:r>
        <w:t xml:space="preserve"> </w:t>
      </w:r>
      <w:r>
        <w:rPr>
          <w:sz w:val="20"/>
          <w:szCs w:val="20"/>
        </w:rPr>
        <w:t xml:space="preserve">AU Commission, Third Ordinary Session of the African Union Specialized Technical Committee on Communication and ICT, </w:t>
      </w:r>
      <w:r>
        <w:rPr>
          <w:rFonts w:cs="Montserrat-LightItalic"/>
          <w:i/>
          <w:iCs/>
          <w:sz w:val="20"/>
          <w:szCs w:val="20"/>
        </w:rPr>
        <w:t xml:space="preserve">Draft Digital Transformation Strategy for Africa (2020–2030) </w:t>
      </w:r>
      <w:r>
        <w:rPr>
          <w:sz w:val="20"/>
          <w:szCs w:val="20"/>
        </w:rPr>
        <w:t>(Addis Ababa: AU, October 2019),</w:t>
      </w:r>
      <w:r>
        <w:t xml:space="preserve"> </w:t>
      </w:r>
    </w:p>
  </w:footnote>
  <w:footnote w:id="4">
    <w:p w14:paraId="58E3A3E8" w14:textId="77777777" w:rsidR="004843DF" w:rsidRDefault="00375391">
      <w:pPr>
        <w:pStyle w:val="NoSpacing"/>
        <w:spacing w:line="240" w:lineRule="auto"/>
      </w:pPr>
      <w:r>
        <w:rPr>
          <w:rStyle w:val="FootnoteReference"/>
        </w:rPr>
        <w:footnoteRef/>
      </w:r>
      <w:r>
        <w:t xml:space="preserve"> </w:t>
      </w:r>
      <w:r>
        <w:rPr>
          <w:sz w:val="20"/>
          <w:szCs w:val="20"/>
        </w:rPr>
        <w:t>Both the Middle East, North Africa, Afghanistan, and Pakistan, and Caucasus and Central Asia regions are also reporting progress in the adoption of FinTech. See Lukonga (2018).</w:t>
      </w:r>
    </w:p>
  </w:footnote>
  <w:footnote w:id="5">
    <w:p w14:paraId="3013F02C" w14:textId="77777777" w:rsidR="004843DF" w:rsidRDefault="00375391">
      <w:pPr>
        <w:pStyle w:val="NoSpacing"/>
        <w:spacing w:line="240" w:lineRule="auto"/>
      </w:pPr>
      <w:r>
        <w:rPr>
          <w:rStyle w:val="FootnoteReference"/>
        </w:rPr>
        <w:footnoteRef/>
      </w:r>
      <w:r>
        <w:rPr>
          <w:sz w:val="20"/>
          <w:szCs w:val="20"/>
        </w:rPr>
        <w:t xml:space="preserve"> </w:t>
      </w:r>
      <w:proofErr w:type="spellStart"/>
      <w:r>
        <w:rPr>
          <w:sz w:val="20"/>
          <w:szCs w:val="20"/>
        </w:rPr>
        <w:t>Tawah</w:t>
      </w:r>
      <w:proofErr w:type="spellEnd"/>
      <w:r>
        <w:rPr>
          <w:sz w:val="20"/>
          <w:szCs w:val="20"/>
        </w:rPr>
        <w:t xml:space="preserve">, interview. Many e-shops run on thin profit margins of less than 10%. Bank commissions reduce these profits. An interesting lesson is the fall of American Express, which imposed higher commission rates than its competitors (Visa and Mastercard) and rapidly lost market share in the new online economy. Ecommerce has seen the launch of a number of new online payment systems, including Paga, Apple Pay, </w:t>
      </w:r>
      <w:proofErr w:type="spellStart"/>
      <w:r>
        <w:rPr>
          <w:sz w:val="20"/>
          <w:szCs w:val="20"/>
        </w:rPr>
        <w:t>Flutterware</w:t>
      </w:r>
      <w:proofErr w:type="spellEnd"/>
      <w:r>
        <w:rPr>
          <w:sz w:val="20"/>
          <w:szCs w:val="20"/>
        </w:rPr>
        <w:t xml:space="preserve"> and World Pay. In South Africa a number of e-wallet solutions are being rolled out, including </w:t>
      </w:r>
      <w:proofErr w:type="spellStart"/>
      <w:r>
        <w:rPr>
          <w:sz w:val="20"/>
          <w:szCs w:val="20"/>
        </w:rPr>
        <w:t>Ukeshe</w:t>
      </w:r>
      <w:proofErr w:type="spellEnd"/>
      <w:r>
        <w:rPr>
          <w:sz w:val="20"/>
          <w:szCs w:val="20"/>
        </w:rPr>
        <w:t xml:space="preserve">, </w:t>
      </w:r>
      <w:proofErr w:type="spellStart"/>
      <w:r>
        <w:rPr>
          <w:sz w:val="20"/>
          <w:szCs w:val="20"/>
        </w:rPr>
        <w:t>Zarga</w:t>
      </w:r>
      <w:proofErr w:type="spellEnd"/>
      <w:r>
        <w:rPr>
          <w:sz w:val="20"/>
          <w:szCs w:val="20"/>
        </w:rPr>
        <w:t xml:space="preserve">, </w:t>
      </w:r>
      <w:proofErr w:type="spellStart"/>
      <w:r>
        <w:rPr>
          <w:sz w:val="20"/>
          <w:szCs w:val="20"/>
        </w:rPr>
        <w:t>Selpal</w:t>
      </w:r>
      <w:proofErr w:type="spellEnd"/>
      <w:r>
        <w:rPr>
          <w:sz w:val="20"/>
          <w:szCs w:val="20"/>
        </w:rPr>
        <w:t xml:space="preserve">, </w:t>
      </w:r>
      <w:proofErr w:type="spellStart"/>
      <w:r>
        <w:rPr>
          <w:sz w:val="20"/>
          <w:szCs w:val="20"/>
        </w:rPr>
        <w:t>Cellbux</w:t>
      </w:r>
      <w:proofErr w:type="spellEnd"/>
      <w:r>
        <w:rPr>
          <w:sz w:val="20"/>
          <w:szCs w:val="20"/>
        </w:rPr>
        <w:t xml:space="preserve"> and </w:t>
      </w:r>
      <w:proofErr w:type="spellStart"/>
      <w:r>
        <w:rPr>
          <w:sz w:val="20"/>
          <w:szCs w:val="20"/>
        </w:rPr>
        <w:t>ChatBanking</w:t>
      </w:r>
      <w:proofErr w:type="spellEnd"/>
      <w:r>
        <w:rPr>
          <w:sz w:val="20"/>
          <w:szCs w:val="20"/>
        </w:rPr>
        <w:t>, which is a WhatsApp payment system (WhatsApp has been trialing its online payments solution in India).</w:t>
      </w:r>
    </w:p>
  </w:footnote>
  <w:footnote w:id="6">
    <w:p w14:paraId="07F18940" w14:textId="77777777" w:rsidR="004843DF" w:rsidRDefault="00375391">
      <w:pPr>
        <w:pStyle w:val="NoSpacing"/>
        <w:spacing w:line="240" w:lineRule="auto"/>
        <w:rPr>
          <w:sz w:val="20"/>
          <w:szCs w:val="20"/>
        </w:rPr>
      </w:pPr>
      <w:r>
        <w:rPr>
          <w:rStyle w:val="FootnoteReference"/>
          <w:sz w:val="20"/>
          <w:szCs w:val="20"/>
        </w:rPr>
        <w:footnoteRef/>
      </w:r>
      <w:r>
        <w:rPr>
          <w:sz w:val="20"/>
          <w:szCs w:val="20"/>
        </w:rPr>
        <w:t xml:space="preserve"> Stahl, L. (2015). The future of money. </w:t>
      </w:r>
      <w:r>
        <w:rPr>
          <w:rStyle w:val="Emphasis"/>
          <w:sz w:val="20"/>
          <w:szCs w:val="20"/>
        </w:rPr>
        <w:t>CBS News 60 Minutes</w:t>
      </w:r>
      <w:r>
        <w:rPr>
          <w:sz w:val="20"/>
          <w:szCs w:val="20"/>
        </w:rPr>
        <w:t xml:space="preserve">. Available at: </w:t>
      </w:r>
      <w:hyperlink r:id="rId1" w:tgtFrame="_blank" w:history="1">
        <w:r>
          <w:rPr>
            <w:rStyle w:val="refsource"/>
            <w:color w:val="0000FF"/>
            <w:sz w:val="20"/>
            <w:szCs w:val="20"/>
            <w:u w:val="single"/>
          </w:rPr>
          <w:t>http://www.cbsnews.com/news/future-of-money-kenya-m-pesa-60-minutes/</w:t>
        </w:r>
      </w:hyperlink>
      <w:r>
        <w:rPr>
          <w:sz w:val="20"/>
          <w:szCs w:val="20"/>
        </w:rPr>
        <w:t>. Accessed 12 Feb 2016.</w:t>
      </w:r>
    </w:p>
  </w:footnote>
  <w:footnote w:id="7">
    <w:p w14:paraId="582B17BE" w14:textId="77777777" w:rsidR="004843DF" w:rsidRDefault="00375391">
      <w:pPr>
        <w:pStyle w:val="NoSpacing"/>
        <w:spacing w:line="240" w:lineRule="auto"/>
      </w:pPr>
      <w:r>
        <w:rPr>
          <w:rStyle w:val="FootnoteReference"/>
          <w:sz w:val="20"/>
          <w:szCs w:val="20"/>
        </w:rPr>
        <w:footnoteRef/>
      </w:r>
      <w:r>
        <w:rPr>
          <w:sz w:val="20"/>
          <w:szCs w:val="20"/>
        </w:rPr>
        <w:t xml:space="preserve"> GSMA (2015). </w:t>
      </w:r>
      <w:r>
        <w:rPr>
          <w:rStyle w:val="Emphasis"/>
          <w:sz w:val="20"/>
          <w:szCs w:val="20"/>
        </w:rPr>
        <w:t>The mobile economy: Sub-Saharan Africa 2015</w:t>
      </w:r>
      <w:r>
        <w:rPr>
          <w:sz w:val="20"/>
          <w:szCs w:val="20"/>
        </w:rPr>
        <w:t xml:space="preserve">. London: GSMA Available at: </w:t>
      </w:r>
      <w:hyperlink r:id="rId2" w:tgtFrame="_blank" w:history="1">
        <w:r>
          <w:rPr>
            <w:rStyle w:val="refsource"/>
            <w:color w:val="0000FF"/>
            <w:sz w:val="20"/>
            <w:szCs w:val="20"/>
            <w:u w:val="single"/>
          </w:rPr>
          <w:t>https://gsmaintelligence.com/research/?file=721eb3d4b80a36451202d0473b3c4a63&amp;download</w:t>
        </w:r>
      </w:hyperlink>
      <w:r>
        <w:rPr>
          <w:sz w:val="20"/>
          <w:szCs w:val="20"/>
        </w:rPr>
        <w:t xml:space="preserve"> .Accessed 12 Feb 2016</w:t>
      </w:r>
    </w:p>
  </w:footnote>
  <w:footnote w:id="8">
    <w:p w14:paraId="083AB668" w14:textId="77777777" w:rsidR="004843DF" w:rsidRDefault="00375391">
      <w:pPr>
        <w:pStyle w:val="NoSpacing"/>
        <w:spacing w:line="240" w:lineRule="auto"/>
      </w:pPr>
      <w:r>
        <w:rPr>
          <w:rStyle w:val="FootnoteReference"/>
          <w:sz w:val="20"/>
          <w:szCs w:val="20"/>
        </w:rPr>
        <w:footnoteRef/>
      </w:r>
      <w:r>
        <w:rPr>
          <w:sz w:val="20"/>
          <w:szCs w:val="20"/>
        </w:rPr>
        <w:t xml:space="preserve"> Jackson, T. (2015b). Move over Asia, it’s Africa’s time now. </w:t>
      </w:r>
      <w:hyperlink r:id="rId3" w:tgtFrame="_blank" w:history="1">
        <w:r>
          <w:rPr>
            <w:rStyle w:val="Emphasis"/>
            <w:sz w:val="20"/>
            <w:szCs w:val="20"/>
            <w:u w:val="single"/>
          </w:rPr>
          <w:t>DisruptAfrica.com</w:t>
        </w:r>
      </w:hyperlink>
      <w:r>
        <w:rPr>
          <w:sz w:val="20"/>
          <w:szCs w:val="20"/>
        </w:rPr>
        <w:t xml:space="preserve">. Available at: </w:t>
      </w:r>
      <w:hyperlink r:id="rId4" w:tgtFrame="_blank" w:history="1">
        <w:r>
          <w:rPr>
            <w:rStyle w:val="refsource"/>
            <w:sz w:val="20"/>
            <w:szCs w:val="20"/>
            <w:u w:val="single"/>
          </w:rPr>
          <w:t>http://disrupt-africa.com/2015/11/move-over-asia-its-africas-time-now/</w:t>
        </w:r>
      </w:hyperlink>
      <w:r>
        <w:rPr>
          <w:sz w:val="20"/>
          <w:szCs w:val="20"/>
        </w:rPr>
        <w:t>. Accessed 12 Feb 2016</w:t>
      </w:r>
      <w:r>
        <w:t>.</w:t>
      </w:r>
    </w:p>
  </w:footnote>
  <w:footnote w:id="9">
    <w:p w14:paraId="4F747A37" w14:textId="77777777" w:rsidR="004843DF" w:rsidRDefault="00375391">
      <w:pPr>
        <w:pStyle w:val="NoSpacing"/>
        <w:spacing w:line="240" w:lineRule="auto"/>
        <w:rPr>
          <w:sz w:val="20"/>
          <w:szCs w:val="20"/>
        </w:rPr>
      </w:pPr>
      <w:r>
        <w:rPr>
          <w:rStyle w:val="FootnoteReference"/>
          <w:sz w:val="20"/>
          <w:szCs w:val="20"/>
        </w:rPr>
        <w:footnoteRef/>
      </w:r>
      <w:r>
        <w:rPr>
          <w:sz w:val="20"/>
          <w:szCs w:val="20"/>
        </w:rPr>
        <w:t xml:space="preserve"> Dhruv Gandhi, “Figures of the Week: Increasing Intra-Regional Trade in Africa” (Washington DC: Brookings, February 23, 2020). UNCTAD estimates formal intra-African trade at 16–18%. Cross-border trade by informal traders is not measured.</w:t>
      </w:r>
    </w:p>
  </w:footnote>
  <w:footnote w:id="10">
    <w:p w14:paraId="42815FEE" w14:textId="77777777" w:rsidR="004843DF" w:rsidRDefault="00375391">
      <w:pPr>
        <w:pStyle w:val="NoSpacing"/>
        <w:rPr>
          <w:sz w:val="18"/>
          <w:szCs w:val="18"/>
        </w:rPr>
      </w:pPr>
      <w:r>
        <w:rPr>
          <w:rStyle w:val="FootnoteReference"/>
          <w:sz w:val="18"/>
          <w:szCs w:val="18"/>
        </w:rPr>
        <w:footnoteRef/>
      </w:r>
      <w:r>
        <w:rPr>
          <w:sz w:val="18"/>
          <w:szCs w:val="18"/>
        </w:rPr>
        <w:t xml:space="preserve"> Jeremy </w:t>
      </w:r>
      <w:proofErr w:type="spellStart"/>
      <w:r>
        <w:rPr>
          <w:sz w:val="18"/>
          <w:szCs w:val="18"/>
        </w:rPr>
        <w:t>Hodara</w:t>
      </w:r>
      <w:proofErr w:type="spellEnd"/>
      <w:r>
        <w:rPr>
          <w:sz w:val="18"/>
          <w:szCs w:val="18"/>
        </w:rPr>
        <w:t xml:space="preserve">, </w:t>
      </w:r>
      <w:r>
        <w:rPr>
          <w:i/>
          <w:iCs/>
          <w:sz w:val="18"/>
          <w:szCs w:val="18"/>
        </w:rPr>
        <w:t xml:space="preserve">On the potential for e-commerce in Egypt and Africa, </w:t>
      </w:r>
      <w:r>
        <w:rPr>
          <w:sz w:val="18"/>
          <w:szCs w:val="18"/>
        </w:rPr>
        <w:t xml:space="preserve">interview by Oxford Business Group, August 08,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A609B"/>
    <w:multiLevelType w:val="hybridMultilevel"/>
    <w:tmpl w:val="5506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DF"/>
    <w:rsid w:val="000B3343"/>
    <w:rsid w:val="0021256F"/>
    <w:rsid w:val="00375391"/>
    <w:rsid w:val="00377FD0"/>
    <w:rsid w:val="004843DF"/>
    <w:rsid w:val="0049005A"/>
    <w:rsid w:val="005D4CA4"/>
    <w:rsid w:val="006F031C"/>
    <w:rsid w:val="007860BE"/>
    <w:rsid w:val="00A2064F"/>
    <w:rsid w:val="00AC3DA4"/>
    <w:rsid w:val="00B6733C"/>
    <w:rsid w:val="00B853E4"/>
    <w:rsid w:val="00BE75C3"/>
    <w:rsid w:val="00CB0C0A"/>
    <w:rsid w:val="00CB7274"/>
    <w:rsid w:val="00F04D11"/>
    <w:rsid w:val="00F6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5727"/>
  <w15:docId w15:val="{9ED5D132-FAE7-4207-A00F-D629AE51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360" w:lineRule="auto"/>
      <w:jc w:val="both"/>
    </w:pPr>
    <w:rPr>
      <w:rFonts w:ascii="Garamond" w:hAnsi="Garamond"/>
      <w:sz w:val="24"/>
    </w:r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7">
    <w:name w:val="Pa17"/>
    <w:basedOn w:val="Default"/>
    <w:next w:val="Default"/>
    <w:uiPriority w:val="99"/>
    <w:pPr>
      <w:spacing w:line="241" w:lineRule="atLeast"/>
    </w:pPr>
    <w:rPr>
      <w:rFonts w:ascii="Adobe Garamond Pro" w:hAnsi="Adobe Garamond Pro" w:cstheme="minorBidi"/>
      <w:color w:val="auto"/>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A9">
    <w:name w:val="A9"/>
    <w:uiPriority w:val="99"/>
    <w:rPr>
      <w:rFonts w:cs="Adobe Garamond Pro"/>
      <w:color w:val="000000"/>
      <w:sz w:val="14"/>
      <w:szCs w:val="1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citationref">
    <w:name w:val="citationref"/>
    <w:basedOn w:val="DefaultParagraphFont"/>
  </w:style>
  <w:style w:type="character" w:styleId="Emphasis">
    <w:name w:val="Emphasis"/>
    <w:basedOn w:val="DefaultParagraphFont"/>
    <w:uiPriority w:val="20"/>
    <w:qFormat/>
    <w:rPr>
      <w:i/>
      <w:iCs/>
    </w:rPr>
  </w:style>
  <w:style w:type="character" w:customStyle="1" w:styleId="externalref">
    <w:name w:val="externalref"/>
    <w:basedOn w:val="DefaultParagraphFont"/>
  </w:style>
  <w:style w:type="character" w:customStyle="1" w:styleId="refsource">
    <w:name w:val="refsourc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reak-words">
    <w:name w:val="break-words"/>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2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disruptafrica.com" TargetMode="External"/><Relationship Id="rId2" Type="http://schemas.openxmlformats.org/officeDocument/2006/relationships/hyperlink" Target="https://gsmaintelligence.com/research/?file=721eb3d4b80a36451202d0473b3c4a63&amp;download" TargetMode="External"/><Relationship Id="rId1" Type="http://schemas.openxmlformats.org/officeDocument/2006/relationships/hyperlink" Target="http://www.cbsnews.com/news/future-of-money-kenya-m-pesa-60-minutes/" TargetMode="External"/><Relationship Id="rId4" Type="http://schemas.openxmlformats.org/officeDocument/2006/relationships/hyperlink" Target="http://disrupt-africa.com/2015/11/move-over-asia-its-africas-time-no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Number_of_Mobile_Money_Transactions-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AppData\Local\Temp\Value_of_Mobile_Money_Transaction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0" normalizeH="0" baseline="0">
                <a:solidFill>
                  <a:sysClr val="windowText" lastClr="000000"/>
                </a:solidFill>
                <a:latin typeface="Garamond" panose="02020404030301010803" pitchFamily="18" charset="0"/>
                <a:ea typeface="+mj-ea"/>
                <a:cs typeface="+mj-cs"/>
              </a:defRPr>
            </a:pPr>
            <a:r>
              <a:rPr lang="en-US" sz="1050">
                <a:solidFill>
                  <a:sysClr val="windowText" lastClr="000000"/>
                </a:solidFill>
                <a:latin typeface="Garamond" panose="02020404030301010803" pitchFamily="18" charset="0"/>
              </a:rPr>
              <a:t>Number of Registered Mobile Money Account</a:t>
            </a:r>
          </a:p>
        </c:rich>
      </c:tx>
      <c:overlay val="0"/>
      <c:spPr>
        <a:noFill/>
        <a:ln>
          <a:noFill/>
        </a:ln>
        <a:effectLst/>
      </c:spPr>
    </c:title>
    <c:autoTitleDeleted val="0"/>
    <c:plotArea>
      <c:layout>
        <c:manualLayout>
          <c:xMode val="edge"/>
          <c:yMode val="edge"/>
          <c:x val="0.05"/>
          <c:w val="0.9"/>
          <c:h val="0.64718826405867969"/>
        </c:manualLayout>
      </c:layout>
      <c:lineChart>
        <c:grouping val="standard"/>
        <c:varyColors val="0"/>
        <c:ser>
          <c:idx val="0"/>
          <c:order val="0"/>
          <c:tx>
            <c:strRef>
              <c:f>'[Number_of_Mobile_Money_Transactions-1.xlsx]Data'!$A$2</c:f>
              <c:strCache>
                <c:ptCount val="1"/>
                <c:pt idx="0">
                  <c:v>Egypt</c:v>
                </c:pt>
              </c:strCache>
            </c:strRef>
          </c:tx>
          <c:spPr>
            <a:ln w="22225" cap="rnd">
              <a:solidFill>
                <a:srgbClr val="00B0F0"/>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'[Number_of_Mobile_Money_Transactions-1.xlsx]Data'!$B$2:$L$2</c:f>
              <c:numCache>
                <c:formatCode>General</c:formatCode>
                <c:ptCount val="11"/>
                <c:pt idx="5">
                  <c:v>3.8847799999999999E-9</c:v>
                </c:pt>
                <c:pt idx="6">
                  <c:v>6.8791900000000001E-9</c:v>
                </c:pt>
                <c:pt idx="7">
                  <c:v>8.9999999999999995E-9</c:v>
                </c:pt>
                <c:pt idx="8">
                  <c:v>1.22E-8</c:v>
                </c:pt>
                <c:pt idx="9">
                  <c:v>1.4909999999999999E-8</c:v>
                </c:pt>
                <c:pt idx="10">
                  <c:v>1.9753046E-8</c:v>
                </c:pt>
              </c:numCache>
            </c:numRef>
          </c:val>
          <c:smooth val="0"/>
          <c:extLst>
            <c:ext xmlns:c16="http://schemas.microsoft.com/office/drawing/2014/chart" uri="{C3380CC4-5D6E-409C-BE32-E72D297353CC}">
              <c16:uniqueId val="{00000000-6468-4622-9D20-9FFC9E376360}"/>
            </c:ext>
          </c:extLst>
        </c:ser>
        <c:ser>
          <c:idx val="1"/>
          <c:order val="1"/>
          <c:tx>
            <c:strRef>
              <c:f>'[Number_of_Mobile_Money_Transactions-1.xlsx]Data'!$A$3</c:f>
              <c:strCache>
                <c:ptCount val="1"/>
                <c:pt idx="0">
                  <c:v>Ghana</c:v>
                </c:pt>
              </c:strCache>
            </c:strRef>
          </c:tx>
          <c:spPr>
            <a:ln w="22225" cap="rnd">
              <a:solidFill>
                <a:schemeClr val="accent2"/>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'[Number_of_Mobile_Money_Transactions-1.xlsx]Data'!$B$3:$L$3</c:f>
              <c:numCache>
                <c:formatCode>General</c:formatCode>
                <c:ptCount val="11"/>
                <c:pt idx="2">
                  <c:v>3.7783740000000001E-9</c:v>
                </c:pt>
                <c:pt idx="3">
                  <c:v>4.3937209999999999E-9</c:v>
                </c:pt>
                <c:pt idx="4">
                  <c:v>7.1675419999999996E-9</c:v>
                </c:pt>
                <c:pt idx="5">
                  <c:v>1.3120367000000001E-8</c:v>
                </c:pt>
                <c:pt idx="6">
                  <c:v>1.9735097999999999E-8</c:v>
                </c:pt>
                <c:pt idx="7">
                  <c:v>2.3947437E-8</c:v>
                </c:pt>
                <c:pt idx="8">
                  <c:v>3.2554345999999999E-8</c:v>
                </c:pt>
              </c:numCache>
            </c:numRef>
          </c:val>
          <c:smooth val="0"/>
          <c:extLst>
            <c:ext xmlns:c16="http://schemas.microsoft.com/office/drawing/2014/chart" uri="{C3380CC4-5D6E-409C-BE32-E72D297353CC}">
              <c16:uniqueId val="{00000001-6468-4622-9D20-9FFC9E376360}"/>
            </c:ext>
          </c:extLst>
        </c:ser>
        <c:ser>
          <c:idx val="2"/>
          <c:order val="2"/>
          <c:tx>
            <c:strRef>
              <c:f>'[Number_of_Mobile_Money_Transactions-1.xlsx]Data'!$A$4</c:f>
              <c:strCache>
                <c:ptCount val="1"/>
                <c:pt idx="0">
                  <c:v>Kenya</c:v>
                </c:pt>
              </c:strCache>
            </c:strRef>
          </c:tx>
          <c:spPr>
            <a:ln w="22225" cap="rnd">
              <a:solidFill>
                <a:srgbClr val="FF0000"/>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'[Number_of_Mobile_Money_Transactions-1.xlsx]Data'!$B$4:$L$4</c:f>
              <c:numCache>
                <c:formatCode>General</c:formatCode>
                <c:ptCount val="11"/>
                <c:pt idx="0">
                  <c:v>1.64463E-8</c:v>
                </c:pt>
                <c:pt idx="1">
                  <c:v>1.9191E-8</c:v>
                </c:pt>
                <c:pt idx="2">
                  <c:v>2.1060000000000001E-8</c:v>
                </c:pt>
                <c:pt idx="3">
                  <c:v>2.5326333000000002E-8</c:v>
                </c:pt>
                <c:pt idx="4">
                  <c:v>2.5249200000000001E-8</c:v>
                </c:pt>
                <c:pt idx="5">
                  <c:v>3.1642400000000001E-8</c:v>
                </c:pt>
                <c:pt idx="6">
                  <c:v>3.4957E-8</c:v>
                </c:pt>
                <c:pt idx="7">
                  <c:v>3.7386799999999998E-8</c:v>
                </c:pt>
                <c:pt idx="8">
                  <c:v>4.76943E-8</c:v>
                </c:pt>
                <c:pt idx="9">
                  <c:v>5.9428235E-8</c:v>
                </c:pt>
                <c:pt idx="10">
                  <c:v>6.6005789999999995E-8</c:v>
                </c:pt>
              </c:numCache>
            </c:numRef>
          </c:val>
          <c:smooth val="0"/>
          <c:extLst>
            <c:ext xmlns:c16="http://schemas.microsoft.com/office/drawing/2014/chart" uri="{C3380CC4-5D6E-409C-BE32-E72D297353CC}">
              <c16:uniqueId val="{00000002-6468-4622-9D20-9FFC9E376360}"/>
            </c:ext>
          </c:extLst>
        </c:ser>
        <c:ser>
          <c:idx val="3"/>
          <c:order val="3"/>
          <c:tx>
            <c:strRef>
              <c:f>'[Number_of_Mobile_Money_Transactions-1.xlsx]Data'!$A$5</c:f>
              <c:strCache>
                <c:ptCount val="1"/>
                <c:pt idx="0">
                  <c:v>Nigeria</c:v>
                </c:pt>
              </c:strCache>
            </c:strRef>
          </c:tx>
          <c:spPr>
            <a:ln w="22225" cap="rnd">
              <a:solidFill>
                <a:srgbClr val="7030A0"/>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'[Number_of_Mobile_Money_Transactions-1.xlsx]Data'!$B$5:$L$5</c:f>
              <c:numCache>
                <c:formatCode>General</c:formatCode>
                <c:ptCount val="11"/>
                <c:pt idx="2">
                  <c:v>3.4075629999999999E-9</c:v>
                </c:pt>
                <c:pt idx="3">
                  <c:v>6.9183290000000001E-9</c:v>
                </c:pt>
                <c:pt idx="4">
                  <c:v>7.0293379999999998E-9</c:v>
                </c:pt>
                <c:pt idx="5">
                  <c:v>1.0771193E-8</c:v>
                </c:pt>
                <c:pt idx="6">
                  <c:v>5.3780260000000003E-9</c:v>
                </c:pt>
                <c:pt idx="7">
                  <c:v>4.170705E-9</c:v>
                </c:pt>
                <c:pt idx="8">
                  <c:v>8.4885730000000003E-9</c:v>
                </c:pt>
                <c:pt idx="9">
                  <c:v>1.5257291999999999E-8</c:v>
                </c:pt>
                <c:pt idx="10">
                  <c:v>7.0958689999999999E-9</c:v>
                </c:pt>
              </c:numCache>
            </c:numRef>
          </c:val>
          <c:smooth val="0"/>
          <c:extLst>
            <c:ext xmlns:c16="http://schemas.microsoft.com/office/drawing/2014/chart" uri="{C3380CC4-5D6E-409C-BE32-E72D297353CC}">
              <c16:uniqueId val="{00000003-6468-4622-9D20-9FFC9E376360}"/>
            </c:ext>
          </c:extLst>
        </c:ser>
        <c:ser>
          <c:idx val="4"/>
          <c:order val="4"/>
          <c:tx>
            <c:strRef>
              <c:f>'[Number_of_Mobile_Money_Transactions-1.xlsx]Data'!$A$6</c:f>
              <c:strCache>
                <c:ptCount val="1"/>
                <c:pt idx="0">
                  <c:v>South Africa</c:v>
                </c:pt>
              </c:strCache>
            </c:strRef>
          </c:tx>
          <c:spPr>
            <a:ln w="22225" cap="rnd">
              <a:solidFill>
                <a:schemeClr val="accent5"/>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'[Number_of_Mobile_Money_Transactions-1.xlsx]Data'!$B$6:$L$6</c:f>
              <c:numCache>
                <c:formatCode>General</c:formatCode>
                <c:ptCount val="11"/>
                <c:pt idx="3">
                  <c:v>2.740075E-9</c:v>
                </c:pt>
                <c:pt idx="4">
                  <c:v>4.3376529999999999E-9</c:v>
                </c:pt>
                <c:pt idx="5">
                  <c:v>6.758973E-9</c:v>
                </c:pt>
                <c:pt idx="6">
                  <c:v>5.0595959999999997E-9</c:v>
                </c:pt>
                <c:pt idx="10">
                  <c:v>3.0205830000000001E-9</c:v>
                </c:pt>
              </c:numCache>
            </c:numRef>
          </c:val>
          <c:smooth val="0"/>
          <c:extLst>
            <c:ext xmlns:c16="http://schemas.microsoft.com/office/drawing/2014/chart" uri="{C3380CC4-5D6E-409C-BE32-E72D297353CC}">
              <c16:uniqueId val="{00000004-6468-4622-9D20-9FFC9E376360}"/>
            </c:ext>
          </c:extLst>
        </c:ser>
        <c:ser>
          <c:idx val="5"/>
          <c:order val="5"/>
          <c:tx>
            <c:strRef>
              <c:f>'[Number_of_Mobile_Money_Transactions-1.xlsx]Data'!$A$7</c:f>
              <c:strCache>
                <c:ptCount val="1"/>
                <c:pt idx="0">
                  <c:v>Tanzania</c:v>
                </c:pt>
              </c:strCache>
            </c:strRef>
          </c:tx>
          <c:spPr>
            <a:ln w="22225" cap="rnd">
              <a:solidFill>
                <a:srgbClr val="00B050"/>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'[Number_of_Mobile_Money_Transactions-1.xlsx]Data'!$B$7:$L$7</c:f>
              <c:numCache>
                <c:formatCode>General</c:formatCode>
                <c:ptCount val="11"/>
                <c:pt idx="0">
                  <c:v>1.0663622999999999E-8</c:v>
                </c:pt>
                <c:pt idx="1">
                  <c:v>2.1184807999999999E-8</c:v>
                </c:pt>
                <c:pt idx="2">
                  <c:v>2.6871175999999999E-8</c:v>
                </c:pt>
                <c:pt idx="3">
                  <c:v>3.1830288999999997E-8</c:v>
                </c:pt>
                <c:pt idx="4">
                  <c:v>4.1380791000000001E-8</c:v>
                </c:pt>
                <c:pt idx="5">
                  <c:v>5.3843916999999999E-8</c:v>
                </c:pt>
              </c:numCache>
            </c:numRef>
          </c:val>
          <c:smooth val="0"/>
          <c:extLst>
            <c:ext xmlns:c16="http://schemas.microsoft.com/office/drawing/2014/chart" uri="{C3380CC4-5D6E-409C-BE32-E72D297353CC}">
              <c16:uniqueId val="{00000005-6468-4622-9D20-9FFC9E376360}"/>
            </c:ext>
          </c:extLst>
        </c:ser>
        <c:ser>
          <c:idx val="6"/>
          <c:order val="6"/>
          <c:tx>
            <c:strRef>
              <c:f>'[Number_of_Mobile_Money_Transactions-1.xlsx]Data'!$A$8</c:f>
              <c:strCache>
                <c:ptCount val="1"/>
                <c:pt idx="0">
                  <c:v>Uganda</c:v>
                </c:pt>
              </c:strCache>
            </c:strRef>
          </c:tx>
          <c:spPr>
            <a:ln w="22225" cap="rnd">
              <a:solidFill>
                <a:schemeClr val="accent1">
                  <a:lumMod val="60000"/>
                </a:schemeClr>
              </a:solidFill>
              <a:round/>
            </a:ln>
            <a:effectLst/>
          </c:spPr>
          <c:marker>
            <c:symbol val="none"/>
          </c:marker>
          <c:cat>
            <c:strRef>
              <c:f>'[Number_of_Mobile_Money_Transactions-1.xlsx]Data'!$B$1:$L$1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'[Number_of_Mobile_Money_Transactions-1.xlsx]Data'!$B$8:$L$8</c:f>
              <c:numCache>
                <c:formatCode>General</c:formatCode>
                <c:ptCount val="11"/>
                <c:pt idx="0">
                  <c:v>1.6837130000000001E-9</c:v>
                </c:pt>
                <c:pt idx="1">
                  <c:v>2.8799680000000001E-9</c:v>
                </c:pt>
                <c:pt idx="2">
                  <c:v>8.8708729999999997E-9</c:v>
                </c:pt>
                <c:pt idx="3">
                  <c:v>1.4243379000000001E-8</c:v>
                </c:pt>
                <c:pt idx="4">
                  <c:v>1.8800416E-8</c:v>
                </c:pt>
                <c:pt idx="5">
                  <c:v>2.1102850999999999E-8</c:v>
                </c:pt>
                <c:pt idx="6">
                  <c:v>2.1585484E-8</c:v>
                </c:pt>
                <c:pt idx="7">
                  <c:v>2.275537E-8</c:v>
                </c:pt>
                <c:pt idx="8">
                  <c:v>2.4465980999999999E-8</c:v>
                </c:pt>
                <c:pt idx="9">
                  <c:v>2.7113702000000001E-8</c:v>
                </c:pt>
                <c:pt idx="10">
                  <c:v>3.0735167000000001E-8</c:v>
                </c:pt>
              </c:numCache>
            </c:numRef>
          </c:val>
          <c:smooth val="0"/>
          <c:extLst>
            <c:ext xmlns:c16="http://schemas.microsoft.com/office/drawing/2014/chart" uri="{C3380CC4-5D6E-409C-BE32-E72D297353CC}">
              <c16:uniqueId val="{00000006-6468-4622-9D20-9FFC9E376360}"/>
            </c:ext>
          </c:extLst>
        </c:ser>
        <c:dLbls>
          <c:showLegendKey val="0"/>
          <c:showVal val="0"/>
          <c:showCatName val="0"/>
          <c:showSerName val="0"/>
          <c:showPercent val="0"/>
          <c:showBubbleSize val="0"/>
        </c:dLbls>
        <c:smooth val="0"/>
        <c:axId val="41101952"/>
        <c:axId val="148001152"/>
      </c:lineChart>
      <c:catAx>
        <c:axId val="4110195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1" i="0" u="none" strike="noStrike" kern="1200" cap="none" spc="0" normalizeH="0" baseline="0">
                <a:solidFill>
                  <a:sysClr val="windowText" lastClr="000000"/>
                </a:solidFill>
                <a:latin typeface="Garamond" panose="02020404030301010803" pitchFamily="18" charset="0"/>
                <a:ea typeface="+mn-ea"/>
                <a:cs typeface="+mn-cs"/>
              </a:defRPr>
            </a:pPr>
            <a:endParaRPr lang="en-US"/>
          </a:p>
        </c:txPr>
        <c:crossAx val="148001152"/>
        <c:crosses val="min"/>
        <c:auto val="0"/>
        <c:lblAlgn val="ctr"/>
        <c:lblOffset val="100"/>
        <c:tickMarkSkip val="1"/>
        <c:noMultiLvlLbl val="0"/>
      </c:catAx>
      <c:valAx>
        <c:axId val="148001152"/>
        <c:scaling>
          <c:orientation val="minMax"/>
        </c:scaling>
        <c:delete val="1"/>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crossAx val="41101952"/>
        <c:crosses val="min"/>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5.0294870920969389E-2"/>
          <c:y val="0.82434818289223277"/>
          <c:w val="0.89999993149307755"/>
          <c:h val="5.758742421348274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legend>
    <c:plotVisOnly val="0"/>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0" normalizeH="0" baseline="0">
                <a:solidFill>
                  <a:sysClr val="windowText" lastClr="000000"/>
                </a:solidFill>
                <a:latin typeface="Garamond" panose="02020404030301010803" pitchFamily="18" charset="0"/>
                <a:ea typeface="+mj-ea"/>
                <a:cs typeface="+mj-cs"/>
              </a:defRPr>
            </a:pPr>
            <a:r>
              <a:rPr lang="en-US" sz="1050">
                <a:solidFill>
                  <a:sysClr val="windowText" lastClr="000000"/>
                </a:solidFill>
                <a:latin typeface="Garamond" panose="02020404030301010803" pitchFamily="18" charset="0"/>
              </a:rPr>
              <a:t>Value of  Mobile Money Transactions</a:t>
            </a:r>
          </a:p>
        </c:rich>
      </c:tx>
      <c:overlay val="0"/>
      <c:spPr>
        <a:noFill/>
        <a:ln>
          <a:noFill/>
        </a:ln>
        <a:effectLst/>
      </c:spPr>
    </c:title>
    <c:autoTitleDeleted val="0"/>
    <c:plotArea>
      <c:layout>
        <c:manualLayout>
          <c:layoutTarget val="inner"/>
          <c:xMode val="edge"/>
          <c:yMode val="edge"/>
          <c:x val="9.9994783260788048E-2"/>
          <c:y val="0.11864865202248641"/>
          <c:w val="0.85000521673921192"/>
          <c:h val="0.61524730018798413"/>
        </c:manualLayout>
      </c:layout>
      <c:barChart>
        <c:barDir val="col"/>
        <c:grouping val="stacked"/>
        <c:varyColors val="0"/>
        <c:ser>
          <c:idx val="0"/>
          <c:order val="0"/>
          <c:tx>
            <c:strRef>
              <c:f>'[Value_of_Mobile_Money_Transactions-3.xlsx]Data'!$A$2</c:f>
              <c:strCache>
                <c:ptCount val="1"/>
                <c:pt idx="0">
                  <c:v>Egypt</c:v>
                </c:pt>
              </c:strCache>
            </c:strRef>
          </c:tx>
          <c:spPr>
            <a:solidFill>
              <a:schemeClr val="accent1"/>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'[Value_of_Mobile_Money_Transactions-3.xlsx]Data'!$B$2:$L$2</c:f>
              <c:numCache>
                <c:formatCode>General</c:formatCode>
                <c:ptCount val="11"/>
                <c:pt idx="6">
                  <c:v>2.283E-6</c:v>
                </c:pt>
                <c:pt idx="7">
                  <c:v>8.6000000000000007E-6</c:v>
                </c:pt>
                <c:pt idx="8">
                  <c:v>1.2E-5</c:v>
                </c:pt>
                <c:pt idx="9">
                  <c:v>2.34E-5</c:v>
                </c:pt>
                <c:pt idx="10">
                  <c:v>8.8231000000000003E-5</c:v>
                </c:pt>
              </c:numCache>
            </c:numRef>
          </c:val>
          <c:extLst>
            <c:ext xmlns:c16="http://schemas.microsoft.com/office/drawing/2014/chart" uri="{C3380CC4-5D6E-409C-BE32-E72D297353CC}">
              <c16:uniqueId val="{00000000-0CFB-47C6-B8E6-FAE5D181BF31}"/>
            </c:ext>
          </c:extLst>
        </c:ser>
        <c:ser>
          <c:idx val="1"/>
          <c:order val="1"/>
          <c:tx>
            <c:strRef>
              <c:f>'[Value_of_Mobile_Money_Transactions-3.xlsx]Data'!$A$3</c:f>
              <c:strCache>
                <c:ptCount val="1"/>
                <c:pt idx="0">
                  <c:v>Ghana</c:v>
                </c:pt>
              </c:strCache>
            </c:strRef>
          </c:tx>
          <c:spPr>
            <a:solidFill>
              <a:schemeClr val="accent2"/>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'[Value_of_Mobile_Money_Transactions-3.xlsx]Data'!$B$3:$L$3</c:f>
              <c:numCache>
                <c:formatCode>General</c:formatCode>
                <c:ptCount val="11"/>
                <c:pt idx="2">
                  <c:v>5.9411999999999998E-7</c:v>
                </c:pt>
                <c:pt idx="3">
                  <c:v>2.65247E-6</c:v>
                </c:pt>
                <c:pt idx="4">
                  <c:v>1.212389E-5</c:v>
                </c:pt>
                <c:pt idx="5">
                  <c:v>3.5444380000000001E-5</c:v>
                </c:pt>
                <c:pt idx="6">
                  <c:v>7.8508899999999996E-5</c:v>
                </c:pt>
                <c:pt idx="7">
                  <c:v>1.5584484000000001E-4</c:v>
                </c:pt>
                <c:pt idx="8">
                  <c:v>2.2320723000000001E-4</c:v>
                </c:pt>
              </c:numCache>
            </c:numRef>
          </c:val>
          <c:extLst>
            <c:ext xmlns:c16="http://schemas.microsoft.com/office/drawing/2014/chart" uri="{C3380CC4-5D6E-409C-BE32-E72D297353CC}">
              <c16:uniqueId val="{00000001-0CFB-47C6-B8E6-FAE5D181BF31}"/>
            </c:ext>
          </c:extLst>
        </c:ser>
        <c:ser>
          <c:idx val="2"/>
          <c:order val="2"/>
          <c:tx>
            <c:strRef>
              <c:f>'[Value_of_Mobile_Money_Transactions-3.xlsx]Data'!$A$4</c:f>
              <c:strCache>
                <c:ptCount val="1"/>
                <c:pt idx="0">
                  <c:v>Kenya</c:v>
                </c:pt>
              </c:strCache>
            </c:strRef>
          </c:tx>
          <c:spPr>
            <a:solidFill>
              <a:srgbClr val="FF0000"/>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'[Value_of_Mobile_Money_Transactions-3.xlsx]Data'!$B$4:$L$4</c:f>
              <c:numCache>
                <c:formatCode>General</c:formatCode>
                <c:ptCount val="11"/>
                <c:pt idx="0">
                  <c:v>7.3221989999999997E-4</c:v>
                </c:pt>
                <c:pt idx="1">
                  <c:v>1.1691501999999999E-3</c:v>
                </c:pt>
                <c:pt idx="2">
                  <c:v>1.5374706724740001E-3</c:v>
                </c:pt>
                <c:pt idx="3">
                  <c:v>1.901571106297E-3</c:v>
                </c:pt>
                <c:pt idx="4">
                  <c:v>2.371794E-3</c:v>
                </c:pt>
                <c:pt idx="5">
                  <c:v>2.8160989999999999E-3</c:v>
                </c:pt>
                <c:pt idx="6">
                  <c:v>3.3555770000000002E-3</c:v>
                </c:pt>
                <c:pt idx="7">
                  <c:v>3.638474E-3</c:v>
                </c:pt>
                <c:pt idx="8">
                  <c:v>3.9843700000000001E-3</c:v>
                </c:pt>
                <c:pt idx="9">
                  <c:v>4.3457613973470997E-3</c:v>
                </c:pt>
                <c:pt idx="10">
                  <c:v>5.2135485141293E-3</c:v>
                </c:pt>
              </c:numCache>
            </c:numRef>
          </c:val>
          <c:extLst>
            <c:ext xmlns:c16="http://schemas.microsoft.com/office/drawing/2014/chart" uri="{C3380CC4-5D6E-409C-BE32-E72D297353CC}">
              <c16:uniqueId val="{00000002-0CFB-47C6-B8E6-FAE5D181BF31}"/>
            </c:ext>
          </c:extLst>
        </c:ser>
        <c:ser>
          <c:idx val="3"/>
          <c:order val="3"/>
          <c:tx>
            <c:strRef>
              <c:f>'[Value_of_Mobile_Money_Transactions-3.xlsx]Data'!$A$5</c:f>
              <c:strCache>
                <c:ptCount val="1"/>
                <c:pt idx="0">
                  <c:v>Nigeria</c:v>
                </c:pt>
              </c:strCache>
            </c:strRef>
          </c:tx>
          <c:spPr>
            <a:solidFill>
              <a:srgbClr val="FFFF00"/>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'[Value_of_Mobile_Money_Transactions-3.xlsx]Data'!$B$5:$L$5</c:f>
              <c:numCache>
                <c:formatCode>General</c:formatCode>
                <c:ptCount val="11"/>
                <c:pt idx="2">
                  <c:v>3.1509334783200002E-5</c:v>
                </c:pt>
                <c:pt idx="3">
                  <c:v>1.4337176123490001E-4</c:v>
                </c:pt>
                <c:pt idx="4">
                  <c:v>3.3923683296671999E-4</c:v>
                </c:pt>
                <c:pt idx="5">
                  <c:v>4.4235376348899998E-4</c:v>
                </c:pt>
                <c:pt idx="6">
                  <c:v>7.5689748365281005E-4</c:v>
                </c:pt>
                <c:pt idx="7">
                  <c:v>1.1033860104699999E-3</c:v>
                </c:pt>
                <c:pt idx="8">
                  <c:v>1.9742514195422501E-3</c:v>
                </c:pt>
                <c:pt idx="9">
                  <c:v>4.4281064165110698E-3</c:v>
                </c:pt>
                <c:pt idx="10">
                  <c:v>1.49877388658316E-2</c:v>
                </c:pt>
              </c:numCache>
            </c:numRef>
          </c:val>
          <c:extLst>
            <c:ext xmlns:c16="http://schemas.microsoft.com/office/drawing/2014/chart" uri="{C3380CC4-5D6E-409C-BE32-E72D297353CC}">
              <c16:uniqueId val="{00000003-0CFB-47C6-B8E6-FAE5D181BF31}"/>
            </c:ext>
          </c:extLst>
        </c:ser>
        <c:ser>
          <c:idx val="4"/>
          <c:order val="4"/>
          <c:tx>
            <c:strRef>
              <c:f>'[Value_of_Mobile_Money_Transactions-3.xlsx]Data'!$A$6</c:f>
              <c:strCache>
                <c:ptCount val="1"/>
                <c:pt idx="0">
                  <c:v>South Africa</c:v>
                </c:pt>
              </c:strCache>
            </c:strRef>
          </c:tx>
          <c:spPr>
            <a:solidFill>
              <a:schemeClr val="accent5"/>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'[Value_of_Mobile_Money_Transactions-3.xlsx]Data'!$B$6:$L$6</c:f>
              <c:numCache>
                <c:formatCode>General</c:formatCode>
                <c:ptCount val="11"/>
                <c:pt idx="3">
                  <c:v>1.6098428100000001E-6</c:v>
                </c:pt>
                <c:pt idx="4">
                  <c:v>1.9419655480000002E-6</c:v>
                </c:pt>
                <c:pt idx="5">
                  <c:v>2.0499999999999999E-6</c:v>
                </c:pt>
                <c:pt idx="6">
                  <c:v>1.229E-6</c:v>
                </c:pt>
                <c:pt idx="10">
                  <c:v>3.2383001448266699E-6</c:v>
                </c:pt>
              </c:numCache>
            </c:numRef>
          </c:val>
          <c:extLst>
            <c:ext xmlns:c16="http://schemas.microsoft.com/office/drawing/2014/chart" uri="{C3380CC4-5D6E-409C-BE32-E72D297353CC}">
              <c16:uniqueId val="{00000004-0CFB-47C6-B8E6-FAE5D181BF31}"/>
            </c:ext>
          </c:extLst>
        </c:ser>
        <c:ser>
          <c:idx val="5"/>
          <c:order val="5"/>
          <c:tx>
            <c:strRef>
              <c:f>'[Value_of_Mobile_Money_Transactions-3.xlsx]Data'!$A$7</c:f>
              <c:strCache>
                <c:ptCount val="1"/>
                <c:pt idx="0">
                  <c:v>Tanzania</c:v>
                </c:pt>
              </c:strCache>
            </c:strRef>
          </c:tx>
          <c:spPr>
            <a:solidFill>
              <a:srgbClr val="00B050"/>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'[Value_of_Mobile_Money_Transactions-3.xlsx]Data'!$B$7:$L$7</c:f>
              <c:numCache>
                <c:formatCode>General</c:formatCode>
                <c:ptCount val="11"/>
                <c:pt idx="0">
                  <c:v>9.8142041000000009E-4</c:v>
                </c:pt>
                <c:pt idx="1">
                  <c:v>5.5633091100000002E-3</c:v>
                </c:pt>
                <c:pt idx="2">
                  <c:v>1.7407725740000001E-2</c:v>
                </c:pt>
                <c:pt idx="3">
                  <c:v>2.8852294019903399E-2</c:v>
                </c:pt>
                <c:pt idx="4">
                  <c:v>4.0809831661583598E-2</c:v>
                </c:pt>
                <c:pt idx="5">
                  <c:v>4.7196044393869298E-2</c:v>
                </c:pt>
              </c:numCache>
            </c:numRef>
          </c:val>
          <c:extLst>
            <c:ext xmlns:c16="http://schemas.microsoft.com/office/drawing/2014/chart" uri="{C3380CC4-5D6E-409C-BE32-E72D297353CC}">
              <c16:uniqueId val="{00000005-0CFB-47C6-B8E6-FAE5D181BF31}"/>
            </c:ext>
          </c:extLst>
        </c:ser>
        <c:ser>
          <c:idx val="6"/>
          <c:order val="6"/>
          <c:tx>
            <c:strRef>
              <c:f>'[Value_of_Mobile_Money_Transactions-3.xlsx]Data'!$A$8</c:f>
              <c:strCache>
                <c:ptCount val="1"/>
                <c:pt idx="0">
                  <c:v>Uganda</c:v>
                </c:pt>
              </c:strCache>
            </c:strRef>
          </c:tx>
          <c:spPr>
            <a:solidFill>
              <a:srgbClr val="7030A0"/>
            </a:solidFill>
            <a:ln>
              <a:noFill/>
            </a:ln>
            <a:effectLst/>
          </c:spPr>
          <c:invertIfNegative val="0"/>
          <c:cat>
            <c:strRef>
              <c:f>'[Value_of_Mobile_Money_Transactions-3.xlsx]Data'!$B$1:$L$1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'[Value_of_Mobile_Money_Transactions-3.xlsx]Data'!$B$8:$L$8</c:f>
              <c:numCache>
                <c:formatCode>General</c:formatCode>
                <c:ptCount val="11"/>
                <c:pt idx="0">
                  <c:v>9.6272950909899999E-4</c:v>
                </c:pt>
                <c:pt idx="1">
                  <c:v>3.7529551044660002E-3</c:v>
                </c:pt>
                <c:pt idx="2">
                  <c:v>1.1662775517339999E-2</c:v>
                </c:pt>
                <c:pt idx="3">
                  <c:v>1.8645660340200002E-2</c:v>
                </c:pt>
                <c:pt idx="4">
                  <c:v>2.4053901819289999E-2</c:v>
                </c:pt>
                <c:pt idx="5">
                  <c:v>3.2737910163624998E-2</c:v>
                </c:pt>
                <c:pt idx="6">
                  <c:v>4.38284044990358E-2</c:v>
                </c:pt>
                <c:pt idx="7">
                  <c:v>5.6518191047681902E-2</c:v>
                </c:pt>
                <c:pt idx="8">
                  <c:v>7.1400747877529799E-2</c:v>
                </c:pt>
                <c:pt idx="9">
                  <c:v>7.3091852190362697E-2</c:v>
                </c:pt>
                <c:pt idx="10">
                  <c:v>9.3728611507774895E-2</c:v>
                </c:pt>
              </c:numCache>
            </c:numRef>
          </c:val>
          <c:extLst>
            <c:ext xmlns:c16="http://schemas.microsoft.com/office/drawing/2014/chart" uri="{C3380CC4-5D6E-409C-BE32-E72D297353CC}">
              <c16:uniqueId val="{00000006-0CFB-47C6-B8E6-FAE5D181BF31}"/>
            </c:ext>
          </c:extLst>
        </c:ser>
        <c:dLbls>
          <c:showLegendKey val="0"/>
          <c:showVal val="0"/>
          <c:showCatName val="0"/>
          <c:showSerName val="0"/>
          <c:showPercent val="0"/>
          <c:showBubbleSize val="0"/>
        </c:dLbls>
        <c:gapWidth val="150"/>
        <c:overlap val="100"/>
        <c:axId val="148168704"/>
        <c:axId val="148170240"/>
      </c:barChart>
      <c:catAx>
        <c:axId val="1481687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1" i="0" u="none" strike="noStrike" kern="1200" cap="none" spc="0" normalizeH="0" baseline="0">
                <a:solidFill>
                  <a:sysClr val="windowText" lastClr="000000"/>
                </a:solidFill>
                <a:latin typeface="Garamond" panose="02020404030301010803" pitchFamily="18" charset="0"/>
                <a:ea typeface="+mn-ea"/>
                <a:cs typeface="+mn-cs"/>
              </a:defRPr>
            </a:pPr>
            <a:endParaRPr lang="en-US"/>
          </a:p>
        </c:txPr>
        <c:crossAx val="148170240"/>
        <c:crosses val="autoZero"/>
        <c:auto val="0"/>
        <c:lblAlgn val="ctr"/>
        <c:lblOffset val="100"/>
        <c:tickMarkSkip val="1"/>
        <c:noMultiLvlLbl val="0"/>
      </c:catAx>
      <c:valAx>
        <c:axId val="148170240"/>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0"/>
        <c:majorTickMark val="none"/>
        <c:minorTickMark val="none"/>
        <c:tickLblPos val="nextTo"/>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148168704"/>
        <c:crosses val="min"/>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7915146476255681"/>
          <c:y val="0.84136701919435986"/>
          <c:w val="0.69138651146867514"/>
          <c:h val="6.5137015919920591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legend>
    <c:plotVisOnly val="0"/>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465C-C3E4-404C-86D1-5663803C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Selasi Koffi Ackom</cp:lastModifiedBy>
  <cp:revision>2</cp:revision>
  <dcterms:created xsi:type="dcterms:W3CDTF">2024-06-10T14:25:00Z</dcterms:created>
  <dcterms:modified xsi:type="dcterms:W3CDTF">2024-06-10T14:25:00Z</dcterms:modified>
</cp:coreProperties>
</file>